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D5" w:rsidRPr="00DE45D5" w:rsidRDefault="00DE45D5" w:rsidP="00DE45D5">
      <w:pPr>
        <w:spacing w:after="0" w:line="276" w:lineRule="auto"/>
        <w:jc w:val="both"/>
        <w:rPr>
          <w:rFonts w:ascii="Calibri" w:hAnsi="Calibri"/>
          <w:b/>
          <w:sz w:val="28"/>
          <w:szCs w:val="28"/>
          <w:lang w:val="ro-RO"/>
        </w:rPr>
      </w:pPr>
      <w:r w:rsidRPr="00DE45D5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5409108" wp14:editId="2908C3CA">
            <wp:simplePos x="0" y="0"/>
            <wp:positionH relativeFrom="column">
              <wp:posOffset>2277745</wp:posOffset>
            </wp:positionH>
            <wp:positionV relativeFrom="paragraph">
              <wp:posOffset>-95885</wp:posOffset>
            </wp:positionV>
            <wp:extent cx="933450" cy="942975"/>
            <wp:effectExtent l="19050" t="0" r="0" b="0"/>
            <wp:wrapTopAndBottom/>
            <wp:docPr id="2" name="Picture 1" descr="Sigla_UNBR-LUX_vectorized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UNBR-LUX_vectorized_BOR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5D5">
        <w:rPr>
          <w:rFonts w:ascii="Calibri" w:hAnsi="Calibri"/>
          <w:b/>
          <w:sz w:val="28"/>
          <w:szCs w:val="28"/>
          <w:lang w:val="ro-RO"/>
        </w:rPr>
        <w:t>UNIUNEA NAŢIONALĂ A BAROURILOR DIN ROMÂNIA</w:t>
      </w:r>
    </w:p>
    <w:p w:rsidR="00DE45D5" w:rsidRPr="00DE45D5" w:rsidRDefault="00DE45D5" w:rsidP="00DE45D5">
      <w:pPr>
        <w:spacing w:after="0" w:line="276" w:lineRule="auto"/>
        <w:jc w:val="both"/>
        <w:rPr>
          <w:rFonts w:ascii="Calibri" w:hAnsi="Calibri"/>
          <w:b/>
          <w:sz w:val="28"/>
          <w:szCs w:val="28"/>
          <w:lang w:val="ro-RO"/>
        </w:rPr>
      </w:pPr>
      <w:r w:rsidRPr="00DE45D5">
        <w:rPr>
          <w:rFonts w:ascii="Calibri" w:hAnsi="Calibri"/>
          <w:b/>
          <w:sz w:val="28"/>
          <w:szCs w:val="28"/>
          <w:lang w:val="ro-RO"/>
        </w:rPr>
        <w:t>CONGRESUL AVOCAŢILOR, BUCUREŞTI, 25-26 martie 2016</w:t>
      </w:r>
    </w:p>
    <w:p w:rsidR="00DE45D5" w:rsidRPr="00DE45D5" w:rsidRDefault="00DE45D5" w:rsidP="00DE45D5">
      <w:pPr>
        <w:spacing w:after="0" w:line="276" w:lineRule="auto"/>
        <w:jc w:val="both"/>
        <w:rPr>
          <w:rFonts w:ascii="Calibri" w:hAnsi="Calibri"/>
          <w:sz w:val="28"/>
          <w:szCs w:val="28"/>
          <w:lang w:val="ro-RO"/>
        </w:rPr>
      </w:pPr>
    </w:p>
    <w:p w:rsidR="00DE45D5" w:rsidRPr="00DE45D5" w:rsidRDefault="00DE45D5" w:rsidP="007C3618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</w:p>
    <w:p w:rsidR="007C3618" w:rsidRPr="00DE45D5" w:rsidRDefault="007C3618" w:rsidP="007C3618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DE45D5">
        <w:rPr>
          <w:rFonts w:ascii="Calibri" w:hAnsi="Calibri" w:cs="Arial"/>
          <w:b/>
          <w:sz w:val="28"/>
          <w:szCs w:val="28"/>
          <w:lang w:val="ro-RO"/>
        </w:rPr>
        <w:t xml:space="preserve">REZOLUȚIA </w:t>
      </w:r>
    </w:p>
    <w:p w:rsidR="007C3618" w:rsidRPr="00DE45D5" w:rsidRDefault="007C3618" w:rsidP="007C3618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DE45D5">
        <w:rPr>
          <w:rFonts w:ascii="Calibri" w:hAnsi="Calibri" w:cs="Arial"/>
          <w:b/>
          <w:sz w:val="28"/>
          <w:szCs w:val="28"/>
          <w:lang w:val="ro-RO"/>
        </w:rPr>
        <w:t>CONGRESULUI AVOCAȚILOR</w:t>
      </w:r>
    </w:p>
    <w:p w:rsidR="007C3618" w:rsidRPr="00DE45D5" w:rsidRDefault="00DE45D5" w:rsidP="007C3618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>
        <w:rPr>
          <w:rFonts w:ascii="Calibri" w:hAnsi="Calibri" w:cs="Arial"/>
          <w:b/>
          <w:sz w:val="28"/>
          <w:szCs w:val="28"/>
          <w:lang w:val="ro-RO"/>
        </w:rPr>
        <w:t>p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rivind</w:t>
      </w:r>
      <w:r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modalitățile de</w:t>
      </w:r>
      <w:r w:rsid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continuare a Proiectului</w:t>
      </w:r>
      <w:r w:rsid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privind aplicarea</w:t>
      </w:r>
      <w:r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Avizului (2013)</w:t>
      </w:r>
      <w:r w:rsidR="008B0D54" w:rsidRPr="00DE45D5">
        <w:rPr>
          <w:rFonts w:ascii="Calibri" w:hAnsi="Calibri" w:cs="Arial"/>
          <w:b/>
          <w:sz w:val="28"/>
          <w:szCs w:val="28"/>
          <w:lang w:val="ro-RO"/>
        </w:rPr>
        <w:t xml:space="preserve"> 16</w:t>
      </w:r>
      <w:r w:rsid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b/>
          <w:sz w:val="28"/>
          <w:szCs w:val="28"/>
          <w:lang w:val="ro-RO"/>
        </w:rPr>
        <w:t>al Consiliului Consultativ al Judecătorilor Europeni</w:t>
      </w:r>
      <w:bookmarkStart w:id="0" w:name="_GoBack"/>
      <w:bookmarkEnd w:id="0"/>
    </w:p>
    <w:p w:rsidR="007C3618" w:rsidRPr="00DE45D5" w:rsidRDefault="007C3618" w:rsidP="007C3618">
      <w:pPr>
        <w:rPr>
          <w:rFonts w:ascii="Calibri" w:hAnsi="Calibri" w:cs="Arial"/>
          <w:sz w:val="28"/>
          <w:szCs w:val="28"/>
          <w:lang w:val="ro-RO"/>
        </w:rPr>
      </w:pPr>
    </w:p>
    <w:p w:rsidR="007C3618" w:rsidRPr="00DE45D5" w:rsidRDefault="007C3618" w:rsidP="00E05CF0">
      <w:p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 xml:space="preserve">Având </w:t>
      </w:r>
      <w:r w:rsidR="00884D10">
        <w:rPr>
          <w:rFonts w:ascii="Calibri" w:hAnsi="Calibri" w:cs="Arial"/>
          <w:sz w:val="28"/>
          <w:szCs w:val="28"/>
          <w:lang w:val="ro-RO"/>
        </w:rPr>
        <w:t>î</w:t>
      </w:r>
      <w:r w:rsidRPr="00DE45D5">
        <w:rPr>
          <w:rFonts w:ascii="Calibri" w:hAnsi="Calibri" w:cs="Arial"/>
          <w:sz w:val="28"/>
          <w:szCs w:val="28"/>
          <w:lang w:val="ro-RO"/>
        </w:rPr>
        <w:t>n vedere :</w:t>
      </w:r>
    </w:p>
    <w:p w:rsidR="007C3618" w:rsidRPr="00DE45D5" w:rsidRDefault="00925597" w:rsidP="00E05CF0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>C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oncluziile rezultate din derularea Proiectului desfășurat în anul 2014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- 2015 de către </w:t>
      </w:r>
      <w:r w:rsidR="00DE45D5">
        <w:rPr>
          <w:rFonts w:ascii="Calibri" w:hAnsi="Calibri" w:cs="Arial"/>
          <w:sz w:val="28"/>
          <w:szCs w:val="28"/>
          <w:lang w:val="ro-RO"/>
        </w:rPr>
        <w:t>Uniunea Națională a Barourilor din România (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U.N.B.R.</w:t>
      </w:r>
      <w:r w:rsidR="00DE45D5">
        <w:rPr>
          <w:rFonts w:ascii="Calibri" w:hAnsi="Calibri" w:cs="Arial"/>
          <w:sz w:val="28"/>
          <w:szCs w:val="28"/>
          <w:lang w:val="ro-RO"/>
        </w:rPr>
        <w:t>)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, </w:t>
      </w:r>
      <w:r w:rsidR="00DE45D5">
        <w:rPr>
          <w:rFonts w:ascii="Calibri" w:hAnsi="Calibri" w:cs="Arial"/>
          <w:sz w:val="28"/>
          <w:szCs w:val="28"/>
          <w:lang w:val="ro-RO"/>
        </w:rPr>
        <w:t>Institutul Național pentru Pregătirea și Perfecționarea Avocaților (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I.N.P.P.A.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) 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reprezentantul României la Consiliul Consultativ al Judecătorilor Europeni,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barourile și </w:t>
      </w:r>
      <w:r w:rsidR="00DE45D5">
        <w:rPr>
          <w:rFonts w:ascii="Calibri" w:hAnsi="Calibri" w:cs="Arial"/>
          <w:sz w:val="28"/>
          <w:szCs w:val="28"/>
          <w:lang w:val="ro-RO"/>
        </w:rPr>
        <w:t>c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urțile de </w:t>
      </w:r>
      <w:r w:rsidR="00DE45D5">
        <w:rPr>
          <w:rFonts w:ascii="Calibri" w:hAnsi="Calibri" w:cs="Arial"/>
          <w:sz w:val="28"/>
          <w:szCs w:val="28"/>
          <w:lang w:val="ro-RO"/>
        </w:rPr>
        <w:t>a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pel privind aplicarea Avizului (2013) 16 al </w:t>
      </w:r>
      <w:r w:rsidR="00DE45D5">
        <w:rPr>
          <w:rFonts w:ascii="Calibri" w:hAnsi="Calibri" w:cs="Arial"/>
          <w:sz w:val="28"/>
          <w:szCs w:val="28"/>
          <w:lang w:val="ro-RO"/>
        </w:rPr>
        <w:t>Consiliului Consultativ al Judecătorilor Europeni (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C.C.J.E.</w:t>
      </w:r>
      <w:r w:rsidR="00DE45D5">
        <w:rPr>
          <w:rFonts w:ascii="Calibri" w:hAnsi="Calibri" w:cs="Arial"/>
          <w:sz w:val="28"/>
          <w:szCs w:val="28"/>
          <w:lang w:val="ro-RO"/>
        </w:rPr>
        <w:t>)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privind relațiile dintre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 xml:space="preserve">judecători și avocați în vedere asigurării calității și eficienței justiției,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la care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au participat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537 </w:t>
      </w:r>
      <w:proofErr w:type="spellStart"/>
      <w:r w:rsidR="00683C6F" w:rsidRPr="00DE45D5">
        <w:rPr>
          <w:rFonts w:ascii="Calibri" w:hAnsi="Calibri" w:cs="Arial"/>
          <w:sz w:val="28"/>
          <w:szCs w:val="28"/>
          <w:lang w:val="ro-RO"/>
        </w:rPr>
        <w:t>avocati</w:t>
      </w:r>
      <w:proofErr w:type="spellEnd"/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884D10">
        <w:rPr>
          <w:rFonts w:ascii="Calibri" w:hAnsi="Calibri" w:cs="Arial"/>
          <w:sz w:val="28"/>
          <w:szCs w:val="28"/>
          <w:lang w:val="ro-RO"/>
        </w:rPr>
        <w:t>ș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i 311 </w:t>
      </w:r>
      <w:proofErr w:type="spellStart"/>
      <w:r w:rsidR="00683C6F" w:rsidRPr="00DE45D5">
        <w:rPr>
          <w:rFonts w:ascii="Calibri" w:hAnsi="Calibri" w:cs="Arial"/>
          <w:sz w:val="28"/>
          <w:szCs w:val="28"/>
          <w:lang w:val="ro-RO"/>
        </w:rPr>
        <w:t>magistrati</w:t>
      </w:r>
      <w:proofErr w:type="spellEnd"/>
      <w:r w:rsidR="00683C6F" w:rsidRPr="00DE45D5">
        <w:rPr>
          <w:rFonts w:ascii="Calibri" w:hAnsi="Calibri" w:cs="Arial"/>
          <w:sz w:val="28"/>
          <w:szCs w:val="28"/>
          <w:lang w:val="ro-RO"/>
        </w:rPr>
        <w:t>;</w:t>
      </w:r>
    </w:p>
    <w:p w:rsidR="0087159B" w:rsidRPr="00DE45D5" w:rsidRDefault="0087159B" w:rsidP="00E05CF0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>R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aportul de fundamentare a </w:t>
      </w:r>
      <w:proofErr w:type="spellStart"/>
      <w:r w:rsidR="007C3618" w:rsidRPr="00DE45D5">
        <w:rPr>
          <w:rFonts w:ascii="Calibri" w:hAnsi="Calibri" w:cs="Arial"/>
          <w:sz w:val="28"/>
          <w:szCs w:val="28"/>
          <w:lang w:val="ro-RO"/>
        </w:rPr>
        <w:t>continuarii</w:t>
      </w:r>
      <w:proofErr w:type="spellEnd"/>
      <w:r w:rsidR="007C3618" w:rsidRPr="00DE45D5">
        <w:rPr>
          <w:rFonts w:ascii="Calibri" w:hAnsi="Calibri" w:cs="Arial"/>
          <w:sz w:val="28"/>
          <w:szCs w:val="28"/>
          <w:lang w:val="ro-RO"/>
        </w:rPr>
        <w:t xml:space="preserve"> proiectului privind aplicarea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>A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vizului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 xml:space="preserve"> 16(2013) </w:t>
      </w:r>
      <w:r w:rsidR="007C3618" w:rsidRPr="00DE45D5">
        <w:rPr>
          <w:rFonts w:ascii="Calibri" w:hAnsi="Calibri" w:cs="Arial"/>
          <w:sz w:val="28"/>
          <w:szCs w:val="28"/>
          <w:lang w:val="ro-RO"/>
        </w:rPr>
        <w:t>al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 xml:space="preserve"> C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>C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>J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94727E" w:rsidRPr="00DE45D5">
        <w:rPr>
          <w:rFonts w:ascii="Calibri" w:hAnsi="Calibri" w:cs="Arial"/>
          <w:sz w:val="28"/>
          <w:szCs w:val="28"/>
          <w:lang w:val="ro-RO"/>
        </w:rPr>
        <w:t>E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</w:t>
      </w:r>
      <w:r w:rsidR="00DE45D5">
        <w:rPr>
          <w:rFonts w:ascii="Calibri" w:hAnsi="Calibri" w:cs="Arial"/>
          <w:i/>
          <w:sz w:val="28"/>
          <w:szCs w:val="28"/>
          <w:lang w:val="ro-RO"/>
        </w:rPr>
        <w:t>–</w:t>
      </w:r>
      <w:r w:rsidR="007C3618" w:rsidRPr="00DE45D5">
        <w:rPr>
          <w:rFonts w:ascii="Calibri" w:hAnsi="Calibri" w:cs="Arial"/>
          <w:i/>
          <w:sz w:val="28"/>
          <w:szCs w:val="28"/>
          <w:lang w:val="ro-RO"/>
        </w:rPr>
        <w:t xml:space="preserve"> </w:t>
      </w:r>
      <w:r w:rsidR="00DE45D5">
        <w:rPr>
          <w:rFonts w:ascii="Calibri" w:hAnsi="Calibri" w:cs="Arial"/>
          <w:i/>
          <w:sz w:val="28"/>
          <w:szCs w:val="28"/>
          <w:lang w:val="ro-RO"/>
        </w:rPr>
        <w:t>„</w:t>
      </w:r>
      <w:r w:rsidRPr="00DE45D5">
        <w:rPr>
          <w:rFonts w:ascii="Calibri" w:hAnsi="Calibri" w:cs="Arial"/>
          <w:i/>
          <w:sz w:val="28"/>
          <w:szCs w:val="28"/>
          <w:lang w:val="ro-RO"/>
        </w:rPr>
        <w:t>O Europă a dreptului și a justiției</w:t>
      </w:r>
      <w:r w:rsidR="00DE45D5">
        <w:rPr>
          <w:rFonts w:ascii="Calibri" w:hAnsi="Calibri" w:cs="Arial"/>
          <w:i/>
          <w:sz w:val="28"/>
          <w:szCs w:val="28"/>
          <w:lang w:val="ro-RO"/>
        </w:rPr>
        <w:t>”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 întocmit de grupul de lucru al Consiliului U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N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B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R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;</w:t>
      </w:r>
    </w:p>
    <w:p w:rsidR="007C3618" w:rsidRPr="00DE45D5" w:rsidRDefault="007C3618" w:rsidP="00E05CF0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 xml:space="preserve">Prevederile de orientare strategică din Programul de la Stockholm </w:t>
      </w:r>
      <w:r w:rsidR="00DE45D5">
        <w:rPr>
          <w:rFonts w:ascii="Calibri" w:hAnsi="Calibri" w:cs="Arial"/>
          <w:sz w:val="28"/>
          <w:szCs w:val="28"/>
          <w:lang w:val="ro-RO"/>
        </w:rPr>
        <w:t>„</w:t>
      </w:r>
      <w:r w:rsidRPr="00DE45D5">
        <w:rPr>
          <w:rFonts w:ascii="Calibri" w:hAnsi="Calibri" w:cs="Arial"/>
          <w:sz w:val="28"/>
          <w:szCs w:val="28"/>
          <w:lang w:val="ro-RO"/>
        </w:rPr>
        <w:t>O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Europă deschisă și sigură în serviciul cetățenilor și pentru protecția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acestora</w:t>
      </w:r>
      <w:r w:rsidR="00DE45D5">
        <w:rPr>
          <w:rFonts w:ascii="Calibri" w:hAnsi="Calibri" w:cs="Arial"/>
          <w:sz w:val="28"/>
          <w:szCs w:val="28"/>
          <w:lang w:val="ro-RO"/>
        </w:rPr>
        <w:t>”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aprobat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de Consiliului Uniunii Europene, </w:t>
      </w:r>
      <w:r w:rsidR="00DE45D5">
        <w:rPr>
          <w:rFonts w:ascii="Calibri" w:hAnsi="Calibri" w:cs="Arial"/>
          <w:sz w:val="28"/>
          <w:szCs w:val="28"/>
          <w:lang w:val="ro-RO"/>
        </w:rPr>
        <w:t>î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n special dezideratul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îmbunătățirii </w:t>
      </w:r>
      <w:proofErr w:type="spellStart"/>
      <w:r w:rsidR="00683C6F" w:rsidRPr="00DE45D5">
        <w:rPr>
          <w:rFonts w:ascii="Calibri" w:hAnsi="Calibri" w:cs="Arial"/>
          <w:sz w:val="28"/>
          <w:szCs w:val="28"/>
          <w:lang w:val="ro-RO"/>
        </w:rPr>
        <w:t>cooperarii</w:t>
      </w:r>
      <w:proofErr w:type="spellEnd"/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 între profesioniștii din domeniul juridic și formarea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acestora</w:t>
      </w:r>
      <w:r w:rsidR="00683C6F" w:rsidRPr="00DE45D5">
        <w:rPr>
          <w:rFonts w:ascii="Calibri" w:hAnsi="Calibri" w:cs="Arial"/>
          <w:b/>
          <w:i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pentru a crea o cultură europeană veritabilă în domeniul judiciar și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al aplicării legii, mai ales sub aspectul form</w:t>
      </w:r>
      <w:r w:rsidR="00DE45D5">
        <w:rPr>
          <w:rFonts w:ascii="Calibri" w:hAnsi="Calibri" w:cs="Arial"/>
          <w:sz w:val="28"/>
          <w:szCs w:val="28"/>
          <w:lang w:val="ro-RO"/>
        </w:rPr>
        <w:t>ă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rii privind chestiunile legate de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UE și accesibilitatea în mod sistematic pentru toate profesiile implicate în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implementarea spațiului de libertate, securitate și justiție;</w:t>
      </w:r>
    </w:p>
    <w:p w:rsidR="00683C6F" w:rsidRPr="00DE45D5" w:rsidRDefault="00683C6F" w:rsidP="00E05CF0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lastRenderedPageBreak/>
        <w:t>Strategia de dezvoltare a sistem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 xml:space="preserve">ului judiciar 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pe perioada 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2015-2020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, 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aprobată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prin H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Pr="00DE45D5">
        <w:rPr>
          <w:rFonts w:ascii="Calibri" w:hAnsi="Calibri" w:cs="Arial"/>
          <w:sz w:val="28"/>
          <w:szCs w:val="28"/>
          <w:lang w:val="ro-RO"/>
        </w:rPr>
        <w:t>G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nr. 1.155/2014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 xml:space="preserve"> și 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principiile consacrate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de aceasta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pentru realiza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>rea unui sistem judiciar modern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: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 xml:space="preserve"> cooperarea loială dintre instituțiile cu atribuții î</w:t>
      </w:r>
      <w:r w:rsidRPr="00DE45D5">
        <w:rPr>
          <w:rFonts w:ascii="Calibri" w:hAnsi="Calibri" w:cs="Arial"/>
          <w:sz w:val="28"/>
          <w:szCs w:val="28"/>
          <w:lang w:val="ro-RO"/>
        </w:rPr>
        <w:t>n adm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inistrarea sistemului judiciar și înfăptuirea justiț</w:t>
      </w:r>
      <w:r w:rsidRPr="00DE45D5">
        <w:rPr>
          <w:rFonts w:ascii="Calibri" w:hAnsi="Calibri" w:cs="Arial"/>
          <w:sz w:val="28"/>
          <w:szCs w:val="28"/>
          <w:lang w:val="ro-RO"/>
        </w:rPr>
        <w:t>iei; respectarea drepturilor omului; adoptarea celor mai bune p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ractici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europene legate de funcț</w:t>
      </w:r>
      <w:r w:rsidRPr="00DE45D5">
        <w:rPr>
          <w:rFonts w:ascii="Calibri" w:hAnsi="Calibri" w:cs="Arial"/>
          <w:sz w:val="28"/>
          <w:szCs w:val="28"/>
          <w:lang w:val="ro-RO"/>
        </w:rPr>
        <w:t>ionarea sistemului judiciar;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consolidarea dialo</w:t>
      </w:r>
      <w:r w:rsidR="008B0D54" w:rsidRPr="00DE45D5">
        <w:rPr>
          <w:rFonts w:ascii="Calibri" w:hAnsi="Calibri" w:cs="Arial"/>
          <w:sz w:val="28"/>
          <w:szCs w:val="28"/>
          <w:lang w:val="ro-RO"/>
        </w:rPr>
        <w:t>gului cu profesiile organizate în mod autonom și cu societatea civilă, precum și implicarea acestora î</w:t>
      </w:r>
      <w:r w:rsidRPr="00DE45D5">
        <w:rPr>
          <w:rFonts w:ascii="Calibri" w:hAnsi="Calibri" w:cs="Arial"/>
          <w:sz w:val="28"/>
          <w:szCs w:val="28"/>
          <w:lang w:val="ro-RO"/>
        </w:rPr>
        <w:t>n procesul de mo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dernizare a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sistemului judiciar</w:t>
      </w:r>
      <w:r w:rsidR="00DE45D5">
        <w:rPr>
          <w:rFonts w:ascii="Calibri" w:hAnsi="Calibri" w:cs="Arial"/>
          <w:sz w:val="28"/>
          <w:szCs w:val="28"/>
          <w:lang w:val="ro-RO"/>
        </w:rPr>
        <w:t>;</w:t>
      </w:r>
    </w:p>
    <w:p w:rsidR="00E05CF0" w:rsidRPr="00DE45D5" w:rsidRDefault="008B0D54" w:rsidP="00E05CF0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bCs/>
          <w:sz w:val="28"/>
          <w:szCs w:val="28"/>
          <w:lang w:val="ro-RO"/>
        </w:rPr>
        <w:t>Direcț</w:t>
      </w:r>
      <w:r w:rsidR="00E05CF0" w:rsidRPr="00DE45D5">
        <w:rPr>
          <w:rFonts w:ascii="Calibri" w:hAnsi="Calibri" w:cs="Arial"/>
          <w:bCs/>
          <w:sz w:val="28"/>
          <w:szCs w:val="28"/>
          <w:lang w:val="ro-RO"/>
        </w:rPr>
        <w:t xml:space="preserve">iile </w:t>
      </w:r>
      <w:r w:rsidR="00683C6F" w:rsidRPr="00DE45D5">
        <w:rPr>
          <w:rFonts w:ascii="Calibri" w:hAnsi="Calibri" w:cs="Arial"/>
          <w:bCs/>
          <w:sz w:val="28"/>
          <w:szCs w:val="28"/>
          <w:lang w:val="ro-RO"/>
        </w:rPr>
        <w:t>de ac</w:t>
      </w:r>
      <w:r w:rsidR="00884D10">
        <w:rPr>
          <w:rFonts w:ascii="Calibri" w:hAnsi="Calibri" w:cs="Arial"/>
          <w:bCs/>
          <w:sz w:val="28"/>
          <w:szCs w:val="28"/>
          <w:lang w:val="ro-RO"/>
        </w:rPr>
        <w:t>ț</w:t>
      </w:r>
      <w:r w:rsidR="00683C6F" w:rsidRPr="00DE45D5">
        <w:rPr>
          <w:rFonts w:ascii="Calibri" w:hAnsi="Calibri" w:cs="Arial"/>
          <w:bCs/>
          <w:sz w:val="28"/>
          <w:szCs w:val="28"/>
          <w:lang w:val="ro-RO"/>
        </w:rPr>
        <w:t>iune, obiective</w:t>
      </w:r>
      <w:r w:rsidR="00E05CF0" w:rsidRPr="00DE45D5">
        <w:rPr>
          <w:rFonts w:ascii="Calibri" w:hAnsi="Calibri" w:cs="Arial"/>
          <w:bCs/>
          <w:sz w:val="28"/>
          <w:szCs w:val="28"/>
          <w:lang w:val="ro-RO"/>
        </w:rPr>
        <w:t>le</w:t>
      </w:r>
      <w:r w:rsidR="00925597" w:rsidRPr="00DE45D5">
        <w:rPr>
          <w:rFonts w:ascii="Calibri" w:hAnsi="Calibri" w:cs="Arial"/>
          <w:bCs/>
          <w:sz w:val="28"/>
          <w:szCs w:val="28"/>
          <w:lang w:val="ro-RO"/>
        </w:rPr>
        <w:t xml:space="preserve"> </w:t>
      </w:r>
      <w:r w:rsidR="00E05CF0" w:rsidRPr="00DE45D5">
        <w:rPr>
          <w:rFonts w:ascii="Calibri" w:hAnsi="Calibri" w:cs="Arial"/>
          <w:bCs/>
          <w:sz w:val="28"/>
          <w:szCs w:val="28"/>
          <w:lang w:val="ro-RO"/>
        </w:rPr>
        <w:t xml:space="preserve">Strategiei mai sus menționate în special cele privind </w:t>
      </w:r>
      <w:proofErr w:type="spellStart"/>
      <w:r w:rsidR="00E05CF0" w:rsidRPr="00DE45D5">
        <w:rPr>
          <w:rFonts w:ascii="Calibri" w:hAnsi="Calibri" w:cs="Arial"/>
          <w:bCs/>
          <w:sz w:val="28"/>
          <w:szCs w:val="28"/>
          <w:lang w:val="ro-RO"/>
        </w:rPr>
        <w:t>p</w:t>
      </w:r>
      <w:r w:rsidRPr="00DE45D5">
        <w:rPr>
          <w:rFonts w:ascii="Calibri" w:hAnsi="Calibri" w:cs="Arial"/>
          <w:bCs/>
          <w:sz w:val="28"/>
          <w:szCs w:val="28"/>
          <w:lang w:val="ro-RO"/>
        </w:rPr>
        <w:t>regatirea</w:t>
      </w:r>
      <w:proofErr w:type="spellEnd"/>
      <w:r w:rsidRPr="00DE45D5">
        <w:rPr>
          <w:rFonts w:ascii="Calibri" w:hAnsi="Calibri" w:cs="Arial"/>
          <w:bCs/>
          <w:sz w:val="28"/>
          <w:szCs w:val="28"/>
          <w:lang w:val="ro-RO"/>
        </w:rPr>
        <w:t xml:space="preserve"> profesională</w:t>
      </w:r>
      <w:r w:rsidR="00683C6F" w:rsidRPr="00DE45D5">
        <w:rPr>
          <w:rFonts w:ascii="Calibri" w:hAnsi="Calibri" w:cs="Arial"/>
          <w:bCs/>
          <w:sz w:val="28"/>
          <w:szCs w:val="28"/>
          <w:lang w:val="ro-RO"/>
        </w:rPr>
        <w:t xml:space="preserve"> interdis</w:t>
      </w:r>
      <w:r w:rsidRPr="00DE45D5">
        <w:rPr>
          <w:rFonts w:ascii="Calibri" w:hAnsi="Calibri" w:cs="Arial"/>
          <w:bCs/>
          <w:sz w:val="28"/>
          <w:szCs w:val="28"/>
          <w:lang w:val="ro-RO"/>
        </w:rPr>
        <w:t>ciplinară</w:t>
      </w:r>
      <w:r w:rsidR="00925597" w:rsidRPr="00DE45D5">
        <w:rPr>
          <w:rFonts w:ascii="Calibri" w:hAnsi="Calibri" w:cs="Arial"/>
          <w:bCs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a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p</w:t>
      </w:r>
      <w:r w:rsidRPr="00DE45D5">
        <w:rPr>
          <w:rFonts w:ascii="Calibri" w:hAnsi="Calibri" w:cs="Arial"/>
          <w:sz w:val="28"/>
          <w:szCs w:val="28"/>
          <w:lang w:val="ro-RO"/>
        </w:rPr>
        <w:t>rofesiilor juridice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organizate î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n mod auton</w:t>
      </w:r>
      <w:r w:rsidRPr="00DE45D5">
        <w:rPr>
          <w:rFonts w:ascii="Calibri" w:hAnsi="Calibri" w:cs="Arial"/>
          <w:sz w:val="28"/>
          <w:szCs w:val="28"/>
          <w:lang w:val="ro-RO"/>
        </w:rPr>
        <w:t>om cu privire la interpretarea ș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i aplicarea noilor coduri 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și 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cu privire la juri</w:t>
      </w:r>
      <w:r w:rsidRPr="00DE45D5">
        <w:rPr>
          <w:rFonts w:ascii="Calibri" w:hAnsi="Calibri" w:cs="Arial"/>
          <w:sz w:val="28"/>
          <w:szCs w:val="28"/>
          <w:lang w:val="ro-RO"/>
        </w:rPr>
        <w:t>sprudența națională ș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i europeană,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având ca rezultat </w:t>
      </w:r>
      <w:r w:rsidR="00DE45D5">
        <w:rPr>
          <w:rFonts w:ascii="Calibri" w:hAnsi="Calibri" w:cs="Arial"/>
          <w:sz w:val="28"/>
          <w:szCs w:val="28"/>
          <w:lang w:val="ro-RO"/>
        </w:rPr>
        <w:t>„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formarea pro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>fesională a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>participanț</w:t>
      </w:r>
      <w:r w:rsidR="00223433" w:rsidRPr="00DE45D5">
        <w:rPr>
          <w:rFonts w:ascii="Calibri" w:hAnsi="Calibri" w:cs="Arial"/>
          <w:sz w:val="28"/>
          <w:szCs w:val="28"/>
          <w:lang w:val="ro-RO"/>
        </w:rPr>
        <w:t>ilor la î</w:t>
      </w:r>
      <w:r w:rsidRPr="00DE45D5">
        <w:rPr>
          <w:rFonts w:ascii="Calibri" w:hAnsi="Calibri" w:cs="Arial"/>
          <w:sz w:val="28"/>
          <w:szCs w:val="28"/>
          <w:lang w:val="ro-RO"/>
        </w:rPr>
        <w:t>nfă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ptu</w:t>
      </w:r>
      <w:r w:rsidR="00223433" w:rsidRPr="00DE45D5">
        <w:rPr>
          <w:rFonts w:ascii="Calibri" w:hAnsi="Calibri" w:cs="Arial"/>
          <w:sz w:val="28"/>
          <w:szCs w:val="28"/>
          <w:lang w:val="ro-RO"/>
        </w:rPr>
        <w:t>irea actului de justiție, adaptată la cerinț</w:t>
      </w:r>
      <w:r w:rsidR="00683C6F" w:rsidRPr="00DE45D5">
        <w:rPr>
          <w:rFonts w:ascii="Calibri" w:hAnsi="Calibri" w:cs="Arial"/>
          <w:sz w:val="28"/>
          <w:szCs w:val="28"/>
          <w:lang w:val="ro-RO"/>
        </w:rPr>
        <w:t>ele sistemului judiciar modernizat.</w:t>
      </w:r>
      <w:r w:rsidR="00DE45D5">
        <w:rPr>
          <w:rFonts w:ascii="Calibri" w:hAnsi="Calibri" w:cs="Arial"/>
          <w:sz w:val="28"/>
          <w:szCs w:val="28"/>
          <w:lang w:val="ro-RO"/>
        </w:rPr>
        <w:t>”;</w:t>
      </w:r>
    </w:p>
    <w:p w:rsidR="00683C6F" w:rsidRPr="00DE45D5" w:rsidRDefault="00683C6F" w:rsidP="0094727E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i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>Semnarea CARTEI INTERPROFESIONALE A JUDECĂTORILOR, PROCURORILOR ŞI AVOCAŢILOR</w:t>
      </w:r>
      <w:r w:rsidR="00884D10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ROMÂNI</w:t>
      </w:r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>î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n septembrie 2015</w:t>
      </w:r>
      <w:r w:rsidR="00DE45D5">
        <w:rPr>
          <w:rFonts w:ascii="Calibri" w:hAnsi="Calibri" w:cs="Arial"/>
          <w:sz w:val="28"/>
          <w:szCs w:val="28"/>
          <w:lang w:val="ro-RO"/>
        </w:rPr>
        <w:t>,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 cu ocazia conferinței de bilanț </w:t>
      </w:r>
      <w:r w:rsidRPr="00DE45D5">
        <w:rPr>
          <w:rFonts w:ascii="Calibri" w:hAnsi="Calibri" w:cs="Arial"/>
          <w:sz w:val="28"/>
          <w:szCs w:val="28"/>
          <w:lang w:val="ro-RO"/>
        </w:rPr>
        <w:t>a Proiectului de aplicar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>e a Avizului 16 (2</w:t>
      </w:r>
      <w:r w:rsidR="005D1FFF" w:rsidRPr="00DE45D5">
        <w:rPr>
          <w:rFonts w:ascii="Calibri" w:hAnsi="Calibri" w:cs="Arial"/>
          <w:sz w:val="28"/>
          <w:szCs w:val="28"/>
          <w:lang w:val="ro-RO"/>
        </w:rPr>
        <w:t>013) al C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5D1FFF" w:rsidRPr="00DE45D5">
        <w:rPr>
          <w:rFonts w:ascii="Calibri" w:hAnsi="Calibri" w:cs="Arial"/>
          <w:sz w:val="28"/>
          <w:szCs w:val="28"/>
          <w:lang w:val="ro-RO"/>
        </w:rPr>
        <w:t>C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5D1FFF" w:rsidRPr="00DE45D5">
        <w:rPr>
          <w:rFonts w:ascii="Calibri" w:hAnsi="Calibri" w:cs="Arial"/>
          <w:sz w:val="28"/>
          <w:szCs w:val="28"/>
          <w:lang w:val="ro-RO"/>
        </w:rPr>
        <w:t>J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5D1FFF" w:rsidRPr="00DE45D5">
        <w:rPr>
          <w:rFonts w:ascii="Calibri" w:hAnsi="Calibri" w:cs="Arial"/>
          <w:sz w:val="28"/>
          <w:szCs w:val="28"/>
          <w:lang w:val="ro-RO"/>
        </w:rPr>
        <w:t>E</w:t>
      </w:r>
      <w:r w:rsidR="00DE45D5">
        <w:rPr>
          <w:rFonts w:ascii="Calibri" w:hAnsi="Calibri" w:cs="Arial"/>
          <w:sz w:val="28"/>
          <w:szCs w:val="28"/>
          <w:lang w:val="ro-RO"/>
        </w:rPr>
        <w:t>.</w:t>
      </w:r>
      <w:r w:rsidR="005D1FFF" w:rsidRPr="00DE45D5">
        <w:rPr>
          <w:rFonts w:ascii="Calibri" w:hAnsi="Calibri" w:cs="Arial"/>
          <w:sz w:val="28"/>
          <w:szCs w:val="28"/>
          <w:lang w:val="ro-RO"/>
        </w:rPr>
        <w:t>, ca un corolar al acestuia,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 xml:space="preserve"> care a consacrat</w:t>
      </w:r>
      <w:r w:rsidR="00E05CF0" w:rsidRPr="00DE45D5">
        <w:rPr>
          <w:rFonts w:ascii="Calibri" w:hAnsi="Calibri" w:cs="Arial"/>
          <w:sz w:val="28"/>
          <w:szCs w:val="28"/>
          <w:lang w:val="ro-RO"/>
        </w:rPr>
        <w:t xml:space="preserve">: </w:t>
      </w:r>
      <w:r w:rsidR="00DE45D5">
        <w:rPr>
          <w:rFonts w:ascii="Calibri" w:hAnsi="Calibri" w:cs="Arial"/>
          <w:i/>
          <w:sz w:val="28"/>
          <w:szCs w:val="28"/>
          <w:lang w:val="ro-RO"/>
        </w:rPr>
        <w:t>„</w:t>
      </w:r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18. Formarea comună a judecătorilor, procurorilor </w:t>
      </w:r>
      <w:proofErr w:type="spellStart"/>
      <w:r w:rsidRPr="00DE45D5">
        <w:rPr>
          <w:rFonts w:ascii="Calibri" w:hAnsi="Calibri" w:cs="Arial"/>
          <w:i/>
          <w:sz w:val="28"/>
          <w:szCs w:val="28"/>
          <w:lang w:val="ro-RO"/>
        </w:rPr>
        <w:t>şi</w:t>
      </w:r>
      <w:proofErr w:type="spellEnd"/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</w:t>
      </w:r>
      <w:proofErr w:type="spellStart"/>
      <w:r w:rsidRPr="00DE45D5">
        <w:rPr>
          <w:rFonts w:ascii="Calibri" w:hAnsi="Calibri" w:cs="Arial"/>
          <w:i/>
          <w:sz w:val="28"/>
          <w:szCs w:val="28"/>
          <w:lang w:val="ro-RO"/>
        </w:rPr>
        <w:t>avocaţilor</w:t>
      </w:r>
      <w:proofErr w:type="spellEnd"/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români prin </w:t>
      </w:r>
      <w:proofErr w:type="spellStart"/>
      <w:r w:rsidRPr="00DE45D5">
        <w:rPr>
          <w:rFonts w:ascii="Calibri" w:hAnsi="Calibri" w:cs="Arial"/>
          <w:i/>
          <w:sz w:val="28"/>
          <w:szCs w:val="28"/>
          <w:lang w:val="ro-RO"/>
        </w:rPr>
        <w:t>modalităţi</w:t>
      </w:r>
      <w:proofErr w:type="spellEnd"/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diverse, respectiv proiecte, </w:t>
      </w:r>
      <w:proofErr w:type="spellStart"/>
      <w:r w:rsidRPr="00DE45D5">
        <w:rPr>
          <w:rFonts w:ascii="Calibri" w:hAnsi="Calibri" w:cs="Arial"/>
          <w:i/>
          <w:sz w:val="28"/>
          <w:szCs w:val="28"/>
          <w:lang w:val="ro-RO"/>
        </w:rPr>
        <w:t>conferinţe</w:t>
      </w:r>
      <w:proofErr w:type="spellEnd"/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, dezbateri juridice comune constituie o bază solidă pentru o cultură juridică comună, în spiritul valorilor democratice ale </w:t>
      </w:r>
      <w:proofErr w:type="spellStart"/>
      <w:r w:rsidRPr="00DE45D5">
        <w:rPr>
          <w:rFonts w:ascii="Calibri" w:hAnsi="Calibri" w:cs="Arial"/>
          <w:i/>
          <w:sz w:val="28"/>
          <w:szCs w:val="28"/>
          <w:lang w:val="ro-RO"/>
        </w:rPr>
        <w:t>justiţiei</w:t>
      </w:r>
      <w:proofErr w:type="spellEnd"/>
      <w:r w:rsidRPr="00DE45D5">
        <w:rPr>
          <w:rFonts w:ascii="Calibri" w:hAnsi="Calibri" w:cs="Arial"/>
          <w:i/>
          <w:sz w:val="28"/>
          <w:szCs w:val="28"/>
          <w:lang w:val="ro-RO"/>
        </w:rPr>
        <w:t xml:space="preserve"> europene, asigurând consolidarea dialogului interprofesional.</w:t>
      </w:r>
      <w:r w:rsidR="00DE45D5">
        <w:rPr>
          <w:rFonts w:ascii="Calibri" w:hAnsi="Calibri" w:cs="Arial"/>
          <w:i/>
          <w:sz w:val="28"/>
          <w:szCs w:val="28"/>
          <w:lang w:val="ro-RO"/>
        </w:rPr>
        <w:t>”,</w:t>
      </w:r>
    </w:p>
    <w:p w:rsidR="005D1FFF" w:rsidRPr="00DE45D5" w:rsidRDefault="005D1FFF" w:rsidP="0094727E">
      <w:p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sz w:val="28"/>
          <w:szCs w:val="28"/>
          <w:lang w:val="ro-RO"/>
        </w:rPr>
        <w:t>în temeiul art. 64 din Legea 51/1995</w:t>
      </w:r>
      <w:r w:rsidR="00DE45D5">
        <w:rPr>
          <w:rFonts w:ascii="Calibri" w:hAnsi="Calibri" w:cs="Arial"/>
          <w:sz w:val="28"/>
          <w:szCs w:val="28"/>
          <w:lang w:val="ro-RO"/>
        </w:rPr>
        <w:t>,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republicată</w:t>
      </w:r>
      <w:r w:rsidR="00DE45D5">
        <w:rPr>
          <w:rFonts w:ascii="Calibri" w:hAnsi="Calibri" w:cs="Arial"/>
          <w:sz w:val="28"/>
          <w:szCs w:val="28"/>
          <w:lang w:val="ro-RO"/>
        </w:rPr>
        <w:t>,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 privind organizarea</w:t>
      </w:r>
      <w:r w:rsidR="00DE45D5">
        <w:rPr>
          <w:rFonts w:ascii="Calibri" w:hAnsi="Calibri" w:cs="Arial"/>
          <w:sz w:val="28"/>
          <w:szCs w:val="28"/>
          <w:lang w:val="ro-RO"/>
        </w:rPr>
        <w:t xml:space="preserve"> </w:t>
      </w:r>
      <w:r w:rsidRPr="00DE45D5">
        <w:rPr>
          <w:rFonts w:ascii="Calibri" w:hAnsi="Calibri" w:cs="Arial"/>
          <w:sz w:val="28"/>
          <w:szCs w:val="28"/>
          <w:lang w:val="ro-RO"/>
        </w:rPr>
        <w:t>și exercitarea profesiei de avocat și art. 83 din Statutul profes</w:t>
      </w:r>
      <w:r w:rsidR="00925597" w:rsidRPr="00DE45D5">
        <w:rPr>
          <w:rFonts w:ascii="Calibri" w:hAnsi="Calibri" w:cs="Arial"/>
          <w:sz w:val="28"/>
          <w:szCs w:val="28"/>
          <w:lang w:val="ro-RO"/>
        </w:rPr>
        <w:t xml:space="preserve">iei de avocat, </w:t>
      </w:r>
      <w:r w:rsidRPr="00DE45D5">
        <w:rPr>
          <w:rFonts w:ascii="Calibri" w:hAnsi="Calibri" w:cs="Arial"/>
          <w:sz w:val="28"/>
          <w:szCs w:val="28"/>
          <w:lang w:val="ro-RO"/>
        </w:rPr>
        <w:t xml:space="preserve">Congresul Avocaților 2015 adoptă prezenta </w:t>
      </w:r>
    </w:p>
    <w:p w:rsidR="00683C6F" w:rsidRPr="00DE45D5" w:rsidRDefault="005D1FFF" w:rsidP="00DE45D5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DE45D5">
        <w:rPr>
          <w:rFonts w:ascii="Calibri" w:hAnsi="Calibri" w:cs="Arial"/>
          <w:b/>
          <w:sz w:val="28"/>
          <w:szCs w:val="28"/>
          <w:lang w:val="ro-RO"/>
        </w:rPr>
        <w:t>REZOLUȚIE</w:t>
      </w:r>
      <w:r w:rsidR="00DE45D5">
        <w:rPr>
          <w:rFonts w:ascii="Calibri" w:hAnsi="Calibri" w:cs="Arial"/>
          <w:b/>
          <w:sz w:val="28"/>
          <w:szCs w:val="28"/>
          <w:lang w:val="ro-RO"/>
        </w:rPr>
        <w:t>:</w:t>
      </w:r>
    </w:p>
    <w:p w:rsidR="005D1FFF" w:rsidRPr="00884D10" w:rsidRDefault="00925597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>Se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 xml:space="preserve"> adopt</w:t>
      </w:r>
      <w:r w:rsidR="00DE45D5" w:rsidRPr="00884D10">
        <w:rPr>
          <w:rFonts w:ascii="Calibri" w:hAnsi="Calibri" w:cs="Arial"/>
          <w:b/>
          <w:sz w:val="28"/>
          <w:szCs w:val="28"/>
          <w:lang w:val="ro-RO"/>
        </w:rPr>
        <w:t>ă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 xml:space="preserve"> ca politici profesionale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,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 xml:space="preserve"> măsurile și modalitățile de acțiune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>propuse prin raportul de fundamentare al continuării Proiectului priv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ind aplicarea Avizului 16 (2013)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 xml:space="preserve"> al 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>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>J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>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>;</w:t>
      </w:r>
    </w:p>
    <w:p w:rsidR="00EC0FB0" w:rsidRPr="00884D10" w:rsidRDefault="005D1FFF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Continuarea 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Proiectul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ui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 priv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ind punerea î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n aplicare a Avizului 16 (2013)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al 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J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prin conlucrarea instituțiilor 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reprezentative ale corpurilor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profesionale ale </w:t>
      </w:r>
      <w:proofErr w:type="spellStart"/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magistratilor</w:t>
      </w:r>
      <w:proofErr w:type="spellEnd"/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ș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i av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ocaț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ilor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(U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N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B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R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, barouri, 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onsiliul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S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uperior al Magistraturii,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instanțe, parchete,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Ministerul Public)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și cele de formare profesională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ale acestora (I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N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P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P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A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, I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nstitutul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N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ațional al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M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agistraturii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)</w:t>
      </w:r>
      <w:r w:rsidR="0072086C" w:rsidRPr="00884D10">
        <w:rPr>
          <w:rFonts w:ascii="Calibri" w:hAnsi="Calibri" w:cs="Arial"/>
          <w:b/>
          <w:sz w:val="28"/>
          <w:szCs w:val="28"/>
          <w:lang w:val="ro-RO"/>
        </w:rPr>
        <w:t xml:space="preserve">,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prin crearea c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adrul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ui </w:t>
      </w:r>
      <w:proofErr w:type="spellStart"/>
      <w:r w:rsidRPr="00884D10">
        <w:rPr>
          <w:rFonts w:ascii="Calibri" w:hAnsi="Calibri" w:cs="Arial"/>
          <w:b/>
          <w:sz w:val="28"/>
          <w:szCs w:val="28"/>
          <w:lang w:val="ro-RO"/>
        </w:rPr>
        <w:t>institutuțional</w:t>
      </w:r>
      <w:proofErr w:type="spellEnd"/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 pentru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exprimarea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lastRenderedPageBreak/>
        <w:t>opiniilor magistraț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ilor și avocaț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ilor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 cu privire la 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 xml:space="preserve">eficientizarea </w:t>
      </w:r>
      <w:proofErr w:type="spellStart"/>
      <w:r w:rsidRPr="00884D10">
        <w:rPr>
          <w:rFonts w:ascii="Calibri" w:hAnsi="Calibri" w:cs="Arial"/>
          <w:b/>
          <w:sz w:val="28"/>
          <w:szCs w:val="28"/>
          <w:lang w:val="ro-RO"/>
        </w:rPr>
        <w:t>realizarii</w:t>
      </w:r>
      <w:proofErr w:type="spellEnd"/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 actului de justiție și protejarea drepturilor cetăț</w:t>
      </w:r>
      <w:r w:rsidR="00EC0FB0" w:rsidRPr="00884D10">
        <w:rPr>
          <w:rFonts w:ascii="Calibri" w:hAnsi="Calibri" w:cs="Arial"/>
          <w:b/>
          <w:sz w:val="28"/>
          <w:szCs w:val="28"/>
          <w:lang w:val="ro-RO"/>
        </w:rPr>
        <w:t>enilo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r la o justiție eficientă ;</w:t>
      </w:r>
    </w:p>
    <w:p w:rsidR="005D1FFF" w:rsidRPr="00884D10" w:rsidRDefault="005D1FFF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>Continuarea activității grupului de lucru al Consiliului U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N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B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R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având ca sarcină redactarea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proiectelor 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G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hiduri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lor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 de bune practici între magistrați și avocați precum și organizarea punerii în aplicare a măsurilor și direcțiilor de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acțiune propuse prin raportul mai sus menționat;</w:t>
      </w:r>
    </w:p>
    <w:p w:rsidR="007E1EDE" w:rsidRPr="00884D10" w:rsidRDefault="005D1FFF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>Mandatarea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Comisiei Permanente să facă demersurile nec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esare în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raporturile cu autorităț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ile semnatare ale Cartei Interprofesionale 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pentru a lua măsuri concrete de punere în aplicare a acesteia și de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identificare a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modalităților de conlucrare pentru continuar</w:t>
      </w:r>
      <w:r w:rsidR="00E855F2" w:rsidRPr="00884D10">
        <w:rPr>
          <w:rFonts w:ascii="Calibri" w:hAnsi="Calibri" w:cs="Arial"/>
          <w:b/>
          <w:sz w:val="28"/>
          <w:szCs w:val="28"/>
          <w:lang w:val="ro-RO"/>
        </w:rPr>
        <w:t>ea Proiectului de aplicare a Av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i</w:t>
      </w:r>
      <w:r w:rsidR="00E855F2" w:rsidRPr="00884D10">
        <w:rPr>
          <w:rFonts w:ascii="Calibri" w:hAnsi="Calibri" w:cs="Arial"/>
          <w:b/>
          <w:sz w:val="28"/>
          <w:szCs w:val="28"/>
          <w:lang w:val="ro-RO"/>
        </w:rPr>
        <w:t>z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 xml:space="preserve">ului (2013)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16 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al 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C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J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.</w:t>
      </w:r>
      <w:r w:rsidR="007E1EDE" w:rsidRPr="00884D10">
        <w:rPr>
          <w:rFonts w:ascii="Calibri" w:hAnsi="Calibri" w:cs="Arial"/>
          <w:b/>
          <w:sz w:val="28"/>
          <w:szCs w:val="28"/>
          <w:lang w:val="ro-RO"/>
        </w:rPr>
        <w:t>;</w:t>
      </w:r>
    </w:p>
    <w:p w:rsidR="00CD32B1" w:rsidRPr="00884D10" w:rsidRDefault="007E1EDE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Asigurarea condițiilor logistice </w:t>
      </w:r>
      <w:r w:rsidR="00376C4E" w:rsidRPr="00884D10">
        <w:rPr>
          <w:rFonts w:ascii="Calibri" w:hAnsi="Calibri" w:cs="Arial"/>
          <w:b/>
          <w:sz w:val="28"/>
          <w:szCs w:val="28"/>
          <w:lang w:val="ro-RO"/>
        </w:rPr>
        <w:t>și a resurselor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376C4E" w:rsidRPr="00884D10">
        <w:rPr>
          <w:rFonts w:ascii="Calibri" w:hAnsi="Calibri" w:cs="Arial"/>
          <w:b/>
          <w:sz w:val="28"/>
          <w:szCs w:val="28"/>
          <w:lang w:val="ro-RO"/>
        </w:rPr>
        <w:t>financiare pentru punerea în aplicare a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acestor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politici profesionale;</w:t>
      </w:r>
    </w:p>
    <w:p w:rsidR="005D1FFF" w:rsidRPr="00884D10" w:rsidRDefault="00CD32B1" w:rsidP="005D1FFF">
      <w:pPr>
        <w:pStyle w:val="ListParagraph"/>
        <w:numPr>
          <w:ilvl w:val="0"/>
          <w:numId w:val="19"/>
        </w:numPr>
        <w:jc w:val="both"/>
        <w:rPr>
          <w:rFonts w:ascii="Calibri" w:hAnsi="Calibri" w:cs="Arial"/>
          <w:b/>
          <w:sz w:val="28"/>
          <w:szCs w:val="28"/>
          <w:lang w:val="ro-RO"/>
        </w:rPr>
      </w:pP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Solicitarea suportului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financiar al Ministerului Justiț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iei </w:t>
      </w:r>
      <w:r w:rsidR="00010A32" w:rsidRPr="00884D10">
        <w:rPr>
          <w:rFonts w:ascii="Calibri" w:hAnsi="Calibri" w:cs="Arial"/>
          <w:b/>
          <w:sz w:val="28"/>
          <w:szCs w:val="28"/>
          <w:lang w:val="ro-RO"/>
        </w:rPr>
        <w:t xml:space="preserve">și al organismelor europene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pentru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aducerea la 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>î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ndeplinire a direcț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iilor</w:t>
      </w:r>
      <w:r w:rsidR="00376C4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>de acțiuni circumscrise</w:t>
      </w:r>
      <w:r w:rsidR="001B728E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 xml:space="preserve">Strategiei Guvernamentale </w:t>
      </w:r>
      <w:r w:rsidR="00884D10" w:rsidRPr="00884D10">
        <w:rPr>
          <w:rFonts w:ascii="Calibri" w:hAnsi="Calibri" w:cs="Arial"/>
          <w:b/>
          <w:sz w:val="28"/>
          <w:szCs w:val="28"/>
          <w:lang w:val="ro-RO"/>
        </w:rPr>
        <w:t>î</w:t>
      </w:r>
      <w:r w:rsidRPr="00884D10">
        <w:rPr>
          <w:rFonts w:ascii="Calibri" w:hAnsi="Calibri" w:cs="Arial"/>
          <w:b/>
          <w:sz w:val="28"/>
          <w:szCs w:val="28"/>
          <w:lang w:val="ro-RO"/>
        </w:rPr>
        <w:t>n</w:t>
      </w:r>
      <w:r w:rsidR="008B0D54" w:rsidRPr="00884D10">
        <w:rPr>
          <w:rFonts w:ascii="Calibri" w:hAnsi="Calibri" w:cs="Arial"/>
          <w:b/>
          <w:sz w:val="28"/>
          <w:szCs w:val="28"/>
          <w:lang w:val="ro-RO"/>
        </w:rPr>
        <w:t xml:space="preserve"> domeniul formarii profesionale.</w:t>
      </w:r>
      <w:r w:rsidR="005D1FFF" w:rsidRPr="00884D10">
        <w:rPr>
          <w:rFonts w:ascii="Calibri" w:hAnsi="Calibri" w:cs="Arial"/>
          <w:b/>
          <w:sz w:val="28"/>
          <w:szCs w:val="28"/>
          <w:lang w:val="ro-RO"/>
        </w:rPr>
        <w:t xml:space="preserve"> </w:t>
      </w:r>
    </w:p>
    <w:p w:rsidR="00963EC1" w:rsidRPr="00DE45D5" w:rsidRDefault="00A0265E" w:rsidP="00884D10">
      <w:pPr>
        <w:jc w:val="both"/>
        <w:rPr>
          <w:rFonts w:ascii="Calibri" w:hAnsi="Calibri" w:cs="Arial"/>
          <w:sz w:val="28"/>
          <w:szCs w:val="28"/>
          <w:lang w:val="ro-RO"/>
        </w:rPr>
      </w:pPr>
      <w:r w:rsidRPr="00DE45D5">
        <w:rPr>
          <w:rFonts w:ascii="Calibri" w:hAnsi="Calibri" w:cs="Arial"/>
          <w:b/>
          <w:sz w:val="28"/>
          <w:szCs w:val="28"/>
          <w:lang w:val="ro-RO"/>
        </w:rPr>
        <w:t xml:space="preserve"> </w:t>
      </w:r>
    </w:p>
    <w:p w:rsidR="00A81EEE" w:rsidRDefault="00A81EEE" w:rsidP="009D4007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:rsidR="00884D10" w:rsidRDefault="00884D10" w:rsidP="009D4007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:rsidR="00884D10" w:rsidRDefault="00884D10" w:rsidP="009D4007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:rsidR="00884D10" w:rsidRPr="00884D10" w:rsidRDefault="00884D10" w:rsidP="00884D10">
      <w:pPr>
        <w:spacing w:after="0" w:line="276" w:lineRule="auto"/>
        <w:jc w:val="center"/>
        <w:rPr>
          <w:b/>
          <w:i/>
          <w:sz w:val="28"/>
          <w:szCs w:val="28"/>
          <w:lang w:val="ro-RO"/>
        </w:rPr>
      </w:pPr>
      <w:r w:rsidRPr="00EA33BF">
        <w:rPr>
          <w:b/>
          <w:i/>
          <w:sz w:val="28"/>
          <w:szCs w:val="28"/>
          <w:lang w:val="ro-RO"/>
        </w:rPr>
        <w:t>Adoptat</w:t>
      </w:r>
      <w:r>
        <w:rPr>
          <w:b/>
          <w:i/>
          <w:sz w:val="28"/>
          <w:szCs w:val="28"/>
          <w:lang w:val="ro-RO"/>
        </w:rPr>
        <w:t>ă</w:t>
      </w:r>
      <w:r w:rsidRPr="00EA33BF">
        <w:rPr>
          <w:b/>
          <w:i/>
          <w:sz w:val="28"/>
          <w:szCs w:val="28"/>
          <w:lang w:val="ro-RO"/>
        </w:rPr>
        <w:t xml:space="preserve"> de Congresul avocaților azi, 26 martie 2016, la București</w:t>
      </w:r>
    </w:p>
    <w:sectPr w:rsidR="00884D10" w:rsidRPr="00884D10" w:rsidSect="004611F1">
      <w:footerReference w:type="default" r:id="rId9"/>
      <w:pgSz w:w="12240" w:h="15840"/>
      <w:pgMar w:top="1008" w:right="1152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46" w:rsidRDefault="00B51446" w:rsidP="00753F21">
      <w:pPr>
        <w:spacing w:after="0" w:line="240" w:lineRule="auto"/>
      </w:pPr>
      <w:r>
        <w:separator/>
      </w:r>
    </w:p>
  </w:endnote>
  <w:endnote w:type="continuationSeparator" w:id="0">
    <w:p w:rsidR="00B51446" w:rsidRDefault="00B51446" w:rsidP="0075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58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EF6" w:rsidRDefault="00D13BA6">
        <w:pPr>
          <w:pStyle w:val="Footer"/>
          <w:jc w:val="right"/>
        </w:pPr>
        <w:r>
          <w:fldChar w:fldCharType="begin"/>
        </w:r>
        <w:r w:rsidR="00B03EF6">
          <w:instrText xml:space="preserve"> PAGE   \* MERGEFORMAT </w:instrText>
        </w:r>
        <w:r>
          <w:fldChar w:fldCharType="separate"/>
        </w:r>
        <w:r w:rsidR="0088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EF6" w:rsidRDefault="00B03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46" w:rsidRDefault="00B51446" w:rsidP="00753F21">
      <w:pPr>
        <w:spacing w:after="0" w:line="240" w:lineRule="auto"/>
      </w:pPr>
      <w:r>
        <w:separator/>
      </w:r>
    </w:p>
  </w:footnote>
  <w:footnote w:type="continuationSeparator" w:id="0">
    <w:p w:rsidR="00B51446" w:rsidRDefault="00B51446" w:rsidP="0075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F70"/>
    <w:multiLevelType w:val="hybridMultilevel"/>
    <w:tmpl w:val="73CE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46C"/>
    <w:multiLevelType w:val="hybridMultilevel"/>
    <w:tmpl w:val="7038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DB3"/>
    <w:multiLevelType w:val="multilevel"/>
    <w:tmpl w:val="80745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7E61"/>
    <w:multiLevelType w:val="hybridMultilevel"/>
    <w:tmpl w:val="D6D42464"/>
    <w:lvl w:ilvl="0" w:tplc="7C229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31E"/>
    <w:multiLevelType w:val="hybridMultilevel"/>
    <w:tmpl w:val="CBE0CBF2"/>
    <w:lvl w:ilvl="0" w:tplc="FDD4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5D1C"/>
    <w:multiLevelType w:val="hybridMultilevel"/>
    <w:tmpl w:val="5412CA8A"/>
    <w:lvl w:ilvl="0" w:tplc="F940904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35213"/>
    <w:multiLevelType w:val="hybridMultilevel"/>
    <w:tmpl w:val="D3EEEA6C"/>
    <w:lvl w:ilvl="0" w:tplc="0CA6B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103D"/>
    <w:multiLevelType w:val="hybridMultilevel"/>
    <w:tmpl w:val="E220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7039"/>
    <w:multiLevelType w:val="multilevel"/>
    <w:tmpl w:val="18865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6160D"/>
    <w:multiLevelType w:val="hybridMultilevel"/>
    <w:tmpl w:val="EA8CAB3C"/>
    <w:lvl w:ilvl="0" w:tplc="4784E1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61D34"/>
    <w:multiLevelType w:val="hybridMultilevel"/>
    <w:tmpl w:val="AB98828A"/>
    <w:lvl w:ilvl="0" w:tplc="6E88F1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4D91"/>
    <w:multiLevelType w:val="hybridMultilevel"/>
    <w:tmpl w:val="9F447EE8"/>
    <w:lvl w:ilvl="0" w:tplc="DE6A0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269D"/>
    <w:multiLevelType w:val="hybridMultilevel"/>
    <w:tmpl w:val="22A6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761"/>
    <w:multiLevelType w:val="multilevel"/>
    <w:tmpl w:val="EBD25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571BF5"/>
    <w:multiLevelType w:val="hybridMultilevel"/>
    <w:tmpl w:val="819A9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0EB1"/>
    <w:multiLevelType w:val="hybridMultilevel"/>
    <w:tmpl w:val="703A0026"/>
    <w:lvl w:ilvl="0" w:tplc="4C06F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3DB7"/>
    <w:multiLevelType w:val="hybridMultilevel"/>
    <w:tmpl w:val="F84CFE88"/>
    <w:lvl w:ilvl="0" w:tplc="51746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4147"/>
    <w:multiLevelType w:val="hybridMultilevel"/>
    <w:tmpl w:val="4A44791A"/>
    <w:lvl w:ilvl="0" w:tplc="5714E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4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25"/>
    <w:rsid w:val="0001029D"/>
    <w:rsid w:val="00010A32"/>
    <w:rsid w:val="00016163"/>
    <w:rsid w:val="00031B8A"/>
    <w:rsid w:val="00065035"/>
    <w:rsid w:val="00080149"/>
    <w:rsid w:val="000A3F85"/>
    <w:rsid w:val="000E26A7"/>
    <w:rsid w:val="000F386D"/>
    <w:rsid w:val="000F39CA"/>
    <w:rsid w:val="00104871"/>
    <w:rsid w:val="00105674"/>
    <w:rsid w:val="00107BAE"/>
    <w:rsid w:val="00111ADC"/>
    <w:rsid w:val="00115767"/>
    <w:rsid w:val="00131C53"/>
    <w:rsid w:val="00153682"/>
    <w:rsid w:val="00166E1B"/>
    <w:rsid w:val="00173EB1"/>
    <w:rsid w:val="0018020C"/>
    <w:rsid w:val="00185A21"/>
    <w:rsid w:val="0018727D"/>
    <w:rsid w:val="001A4CF7"/>
    <w:rsid w:val="001B728E"/>
    <w:rsid w:val="001C1096"/>
    <w:rsid w:val="001D10F2"/>
    <w:rsid w:val="001E2F4E"/>
    <w:rsid w:val="001E68AD"/>
    <w:rsid w:val="001F04D1"/>
    <w:rsid w:val="00223433"/>
    <w:rsid w:val="00246200"/>
    <w:rsid w:val="00251774"/>
    <w:rsid w:val="0025690A"/>
    <w:rsid w:val="00265479"/>
    <w:rsid w:val="00293179"/>
    <w:rsid w:val="002A4504"/>
    <w:rsid w:val="002B34C9"/>
    <w:rsid w:val="002C7ED9"/>
    <w:rsid w:val="002D111A"/>
    <w:rsid w:val="002D149E"/>
    <w:rsid w:val="002D7295"/>
    <w:rsid w:val="00304324"/>
    <w:rsid w:val="00312B2D"/>
    <w:rsid w:val="003210D5"/>
    <w:rsid w:val="00321141"/>
    <w:rsid w:val="00376C4E"/>
    <w:rsid w:val="003869EB"/>
    <w:rsid w:val="00394FD6"/>
    <w:rsid w:val="003A5055"/>
    <w:rsid w:val="003B5414"/>
    <w:rsid w:val="003D2BA2"/>
    <w:rsid w:val="003E1825"/>
    <w:rsid w:val="003E1E30"/>
    <w:rsid w:val="003F7411"/>
    <w:rsid w:val="00406983"/>
    <w:rsid w:val="004172C5"/>
    <w:rsid w:val="00434005"/>
    <w:rsid w:val="00447F1C"/>
    <w:rsid w:val="00457532"/>
    <w:rsid w:val="004611F1"/>
    <w:rsid w:val="0048359C"/>
    <w:rsid w:val="004A086D"/>
    <w:rsid w:val="004A0B76"/>
    <w:rsid w:val="004B68B8"/>
    <w:rsid w:val="004E399C"/>
    <w:rsid w:val="00515A42"/>
    <w:rsid w:val="0052296D"/>
    <w:rsid w:val="00524BD6"/>
    <w:rsid w:val="00544CB2"/>
    <w:rsid w:val="00560186"/>
    <w:rsid w:val="005A226E"/>
    <w:rsid w:val="005B3618"/>
    <w:rsid w:val="005D1FFF"/>
    <w:rsid w:val="005D4ABF"/>
    <w:rsid w:val="005E039E"/>
    <w:rsid w:val="005E2A3E"/>
    <w:rsid w:val="005F1FF1"/>
    <w:rsid w:val="00603DF6"/>
    <w:rsid w:val="00607BDE"/>
    <w:rsid w:val="006149F8"/>
    <w:rsid w:val="00644E0A"/>
    <w:rsid w:val="00656706"/>
    <w:rsid w:val="00663564"/>
    <w:rsid w:val="00667E51"/>
    <w:rsid w:val="006705A6"/>
    <w:rsid w:val="006708EF"/>
    <w:rsid w:val="00683C6F"/>
    <w:rsid w:val="006A5D1C"/>
    <w:rsid w:val="006A670C"/>
    <w:rsid w:val="006C04CE"/>
    <w:rsid w:val="006C352E"/>
    <w:rsid w:val="006D7FD9"/>
    <w:rsid w:val="00711E2E"/>
    <w:rsid w:val="0072086C"/>
    <w:rsid w:val="00721F54"/>
    <w:rsid w:val="00723EDE"/>
    <w:rsid w:val="007251C4"/>
    <w:rsid w:val="00741249"/>
    <w:rsid w:val="00746B27"/>
    <w:rsid w:val="00753D60"/>
    <w:rsid w:val="00753F21"/>
    <w:rsid w:val="00756E3C"/>
    <w:rsid w:val="007743A8"/>
    <w:rsid w:val="007749DE"/>
    <w:rsid w:val="00777261"/>
    <w:rsid w:val="0079590F"/>
    <w:rsid w:val="007964A4"/>
    <w:rsid w:val="007A0DA7"/>
    <w:rsid w:val="007B5345"/>
    <w:rsid w:val="007C3618"/>
    <w:rsid w:val="007E1EDE"/>
    <w:rsid w:val="00803C33"/>
    <w:rsid w:val="00806DE3"/>
    <w:rsid w:val="00807B6F"/>
    <w:rsid w:val="0081487B"/>
    <w:rsid w:val="00816ABC"/>
    <w:rsid w:val="00845083"/>
    <w:rsid w:val="0084533F"/>
    <w:rsid w:val="00850837"/>
    <w:rsid w:val="0087159B"/>
    <w:rsid w:val="00882DB5"/>
    <w:rsid w:val="00884D10"/>
    <w:rsid w:val="00886475"/>
    <w:rsid w:val="00892129"/>
    <w:rsid w:val="00892AD0"/>
    <w:rsid w:val="008A2176"/>
    <w:rsid w:val="008B0D54"/>
    <w:rsid w:val="008D7595"/>
    <w:rsid w:val="008E7650"/>
    <w:rsid w:val="008F4DE3"/>
    <w:rsid w:val="00902CDC"/>
    <w:rsid w:val="00915396"/>
    <w:rsid w:val="00925597"/>
    <w:rsid w:val="00931E1F"/>
    <w:rsid w:val="00946889"/>
    <w:rsid w:val="0094727E"/>
    <w:rsid w:val="00963EC1"/>
    <w:rsid w:val="0098332D"/>
    <w:rsid w:val="009852DD"/>
    <w:rsid w:val="009A1ADB"/>
    <w:rsid w:val="009D0FCA"/>
    <w:rsid w:val="009D4007"/>
    <w:rsid w:val="00A00775"/>
    <w:rsid w:val="00A0265E"/>
    <w:rsid w:val="00A40C61"/>
    <w:rsid w:val="00A53861"/>
    <w:rsid w:val="00A70E90"/>
    <w:rsid w:val="00A743AE"/>
    <w:rsid w:val="00A7751B"/>
    <w:rsid w:val="00A8036A"/>
    <w:rsid w:val="00A81EEE"/>
    <w:rsid w:val="00A866B1"/>
    <w:rsid w:val="00A90BA2"/>
    <w:rsid w:val="00A91260"/>
    <w:rsid w:val="00AA1E5E"/>
    <w:rsid w:val="00AC77E8"/>
    <w:rsid w:val="00AD67DE"/>
    <w:rsid w:val="00AF2260"/>
    <w:rsid w:val="00B03EF6"/>
    <w:rsid w:val="00B336B8"/>
    <w:rsid w:val="00B374AB"/>
    <w:rsid w:val="00B4562B"/>
    <w:rsid w:val="00B51446"/>
    <w:rsid w:val="00B53D3F"/>
    <w:rsid w:val="00B56907"/>
    <w:rsid w:val="00B6549A"/>
    <w:rsid w:val="00B72DF9"/>
    <w:rsid w:val="00B82ABE"/>
    <w:rsid w:val="00B82CE2"/>
    <w:rsid w:val="00BA3BD7"/>
    <w:rsid w:val="00BA7D55"/>
    <w:rsid w:val="00BC0FC0"/>
    <w:rsid w:val="00BC47D0"/>
    <w:rsid w:val="00BC563D"/>
    <w:rsid w:val="00BD6017"/>
    <w:rsid w:val="00BD7C12"/>
    <w:rsid w:val="00C10673"/>
    <w:rsid w:val="00C268E3"/>
    <w:rsid w:val="00C26E23"/>
    <w:rsid w:val="00C30574"/>
    <w:rsid w:val="00C31018"/>
    <w:rsid w:val="00C32786"/>
    <w:rsid w:val="00C348A1"/>
    <w:rsid w:val="00C44D05"/>
    <w:rsid w:val="00C51B19"/>
    <w:rsid w:val="00C54DA4"/>
    <w:rsid w:val="00C7397B"/>
    <w:rsid w:val="00C75F27"/>
    <w:rsid w:val="00C82DAD"/>
    <w:rsid w:val="00C9277F"/>
    <w:rsid w:val="00C92A50"/>
    <w:rsid w:val="00CA132C"/>
    <w:rsid w:val="00CB2FAB"/>
    <w:rsid w:val="00CD32B1"/>
    <w:rsid w:val="00CD5B9A"/>
    <w:rsid w:val="00CD7858"/>
    <w:rsid w:val="00D12055"/>
    <w:rsid w:val="00D13BA6"/>
    <w:rsid w:val="00D17EBA"/>
    <w:rsid w:val="00D220FF"/>
    <w:rsid w:val="00D252B8"/>
    <w:rsid w:val="00D26C0A"/>
    <w:rsid w:val="00D41188"/>
    <w:rsid w:val="00D41FF8"/>
    <w:rsid w:val="00D61F24"/>
    <w:rsid w:val="00D74752"/>
    <w:rsid w:val="00D83095"/>
    <w:rsid w:val="00D8674D"/>
    <w:rsid w:val="00DC63F4"/>
    <w:rsid w:val="00DC65FE"/>
    <w:rsid w:val="00DE45D5"/>
    <w:rsid w:val="00DE543D"/>
    <w:rsid w:val="00DF03EE"/>
    <w:rsid w:val="00E05CF0"/>
    <w:rsid w:val="00E16891"/>
    <w:rsid w:val="00E52761"/>
    <w:rsid w:val="00E855F2"/>
    <w:rsid w:val="00E904F7"/>
    <w:rsid w:val="00E973E6"/>
    <w:rsid w:val="00EB28BF"/>
    <w:rsid w:val="00EC0FB0"/>
    <w:rsid w:val="00EC7C76"/>
    <w:rsid w:val="00EE4074"/>
    <w:rsid w:val="00EF3BC5"/>
    <w:rsid w:val="00F031A6"/>
    <w:rsid w:val="00F113D6"/>
    <w:rsid w:val="00F21E64"/>
    <w:rsid w:val="00F516F3"/>
    <w:rsid w:val="00F83BF0"/>
    <w:rsid w:val="00F8792D"/>
    <w:rsid w:val="00FA3274"/>
    <w:rsid w:val="00FC4EF6"/>
    <w:rsid w:val="00FE3A24"/>
    <w:rsid w:val="00FE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3345-B4F8-477A-97BD-AC5FCA3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A6"/>
  </w:style>
  <w:style w:type="paragraph" w:styleId="Heading1">
    <w:name w:val="heading 1"/>
    <w:basedOn w:val="Normal"/>
    <w:next w:val="Normal"/>
    <w:link w:val="Heading1Char"/>
    <w:uiPriority w:val="9"/>
    <w:qFormat/>
    <w:rsid w:val="00B82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7B"/>
    <w:pPr>
      <w:ind w:left="720"/>
      <w:contextualSpacing/>
    </w:pPr>
  </w:style>
  <w:style w:type="character" w:styleId="Hyperlink">
    <w:name w:val="Hyperlink"/>
    <w:rsid w:val="0025690A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9D0FC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21"/>
  </w:style>
  <w:style w:type="paragraph" w:styleId="Footer">
    <w:name w:val="footer"/>
    <w:basedOn w:val="Normal"/>
    <w:link w:val="FooterChar"/>
    <w:uiPriority w:val="99"/>
    <w:unhideWhenUsed/>
    <w:rsid w:val="0075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21"/>
  </w:style>
  <w:style w:type="paragraph" w:styleId="FootnoteText">
    <w:name w:val="footnote text"/>
    <w:basedOn w:val="Normal"/>
    <w:link w:val="FootnoteTextChar"/>
    <w:uiPriority w:val="99"/>
    <w:semiHidden/>
    <w:unhideWhenUsed/>
    <w:rsid w:val="008715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9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1E1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923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0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6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48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0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26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50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6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51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D8D9-8722-4D9A-86F5-5C2FCB6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760</Words>
  <Characters>4500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Elena</dc:creator>
  <cp:lastModifiedBy>Sandu Gherasim</cp:lastModifiedBy>
  <cp:revision>3</cp:revision>
  <dcterms:created xsi:type="dcterms:W3CDTF">2016-04-01T07:59:00Z</dcterms:created>
  <dcterms:modified xsi:type="dcterms:W3CDTF">2016-04-01T10:14:00Z</dcterms:modified>
</cp:coreProperties>
</file>