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000" w:type="pct"/>
        <w:tblCellMar>
          <w:left w:w="10" w:type="dxa"/>
          <w:right w:w="10" w:type="dxa"/>
        </w:tblCellMar>
        <w:tblLook w:val="00A0" w:firstRow="1" w:lastRow="0" w:firstColumn="1" w:lastColumn="0" w:noHBand="0" w:noVBand="0"/>
      </w:tblPr>
      <w:tblGrid>
        <w:gridCol w:w="9049"/>
      </w:tblGrid>
      <w:tr w:rsidR="006660B9" w:rsidRPr="00F5644D" w:rsidTr="003A16ED">
        <w:trPr>
          <w:trHeight w:val="1862"/>
        </w:trPr>
        <w:tc>
          <w:tcPr>
            <w:tcW w:w="5000" w:type="pct"/>
            <w:shd w:val="clear" w:color="auto" w:fill="943634"/>
            <w:vAlign w:val="bottom"/>
          </w:tcPr>
          <w:p w:rsidR="006660B9" w:rsidRPr="00F5644D" w:rsidRDefault="006660B9" w:rsidP="008907E1">
            <w:pPr>
              <w:pStyle w:val="Bodytext21"/>
              <w:shd w:val="clear" w:color="auto" w:fill="auto"/>
              <w:spacing w:line="276" w:lineRule="auto"/>
              <w:ind w:firstLine="0"/>
              <w:rPr>
                <w:lang w:val="ro-RO"/>
              </w:rPr>
            </w:pPr>
            <w:bookmarkStart w:id="0" w:name="OLE_LINK7"/>
            <w:bookmarkStart w:id="1" w:name="OLE_LINK8"/>
            <w:r w:rsidRPr="00F5644D">
              <w:rPr>
                <w:rStyle w:val="Bodytext226pt"/>
                <w:rFonts w:eastAsia="Arial Unicode MS"/>
                <w:b w:val="0"/>
                <w:bCs w:val="0"/>
                <w:lang w:val="ro-RO"/>
              </w:rPr>
              <w:t>Recomandările CCBE privind protejarea confiden</w:t>
            </w:r>
            <w:r>
              <w:rPr>
                <w:rStyle w:val="Bodytext226pt"/>
                <w:rFonts w:eastAsia="Arial Unicode MS"/>
                <w:b w:val="0"/>
                <w:bCs w:val="0"/>
                <w:lang w:val="ro-RO"/>
              </w:rPr>
              <w:t>ţ</w:t>
            </w:r>
            <w:r w:rsidRPr="00F5644D">
              <w:rPr>
                <w:rStyle w:val="Bodytext226pt"/>
                <w:rFonts w:eastAsia="Arial Unicode MS"/>
                <w:b w:val="0"/>
                <w:bCs w:val="0"/>
                <w:lang w:val="ro-RO"/>
              </w:rPr>
              <w:t>ialită</w:t>
            </w:r>
            <w:r>
              <w:rPr>
                <w:rStyle w:val="Bodytext226pt"/>
                <w:rFonts w:eastAsia="Arial Unicode MS"/>
                <w:b w:val="0"/>
                <w:bCs w:val="0"/>
                <w:lang w:val="ro-RO"/>
              </w:rPr>
              <w:t>ţ</w:t>
            </w:r>
            <w:r w:rsidRPr="00F5644D">
              <w:rPr>
                <w:rStyle w:val="Bodytext226pt"/>
                <w:rFonts w:eastAsia="Arial Unicode MS"/>
                <w:b w:val="0"/>
                <w:bCs w:val="0"/>
                <w:lang w:val="ro-RO"/>
              </w:rPr>
              <w:t>ii clien</w:t>
            </w:r>
            <w:r>
              <w:rPr>
                <w:rStyle w:val="Bodytext226pt"/>
                <w:rFonts w:eastAsia="Arial Unicode MS"/>
                <w:b w:val="0"/>
                <w:bCs w:val="0"/>
                <w:lang w:val="ro-RO"/>
              </w:rPr>
              <w:t>ţ</w:t>
            </w:r>
            <w:r w:rsidRPr="00F5644D">
              <w:rPr>
                <w:rStyle w:val="Bodytext226pt"/>
                <w:rFonts w:eastAsia="Arial Unicode MS"/>
                <w:b w:val="0"/>
                <w:bCs w:val="0"/>
                <w:lang w:val="ro-RO"/>
              </w:rPr>
              <w:t>ilor în contextul activită</w:t>
            </w:r>
            <w:r>
              <w:rPr>
                <w:rStyle w:val="Bodytext226pt"/>
                <w:rFonts w:eastAsia="Arial Unicode MS"/>
                <w:b w:val="0"/>
                <w:bCs w:val="0"/>
                <w:lang w:val="ro-RO"/>
              </w:rPr>
              <w:t>ţ</w:t>
            </w:r>
            <w:r w:rsidRPr="00F5644D">
              <w:rPr>
                <w:rStyle w:val="Bodytext226pt"/>
                <w:rFonts w:eastAsia="Arial Unicode MS"/>
                <w:b w:val="0"/>
                <w:bCs w:val="0"/>
                <w:lang w:val="ro-RO"/>
              </w:rPr>
              <w:t>ilor de supraveghere</w:t>
            </w:r>
            <w:bookmarkEnd w:id="0"/>
            <w:bookmarkEnd w:id="1"/>
          </w:p>
        </w:tc>
      </w:tr>
      <w:tr w:rsidR="006660B9" w:rsidRPr="00F5644D" w:rsidTr="003A16ED">
        <w:trPr>
          <w:trHeight w:val="494"/>
        </w:trPr>
        <w:tc>
          <w:tcPr>
            <w:tcW w:w="5000" w:type="pct"/>
            <w:shd w:val="clear" w:color="auto" w:fill="943634"/>
            <w:vAlign w:val="center"/>
          </w:tcPr>
          <w:p w:rsidR="006660B9" w:rsidRPr="00F5644D" w:rsidRDefault="006660B9" w:rsidP="003A16ED">
            <w:pPr>
              <w:pStyle w:val="Bodytext21"/>
              <w:shd w:val="clear" w:color="auto" w:fill="auto"/>
              <w:spacing w:line="276" w:lineRule="auto"/>
              <w:ind w:firstLine="0"/>
              <w:jc w:val="right"/>
              <w:rPr>
                <w:lang w:val="ro-RO"/>
              </w:rPr>
            </w:pPr>
            <w:r w:rsidRPr="00F5644D">
              <w:rPr>
                <w:rStyle w:val="Bodytext2115pt"/>
                <w:rFonts w:eastAsia="Arial Unicode MS"/>
                <w:lang w:val="ro-RO"/>
              </w:rPr>
              <w:t>28</w:t>
            </w:r>
            <w:r w:rsidRPr="00F5644D">
              <w:rPr>
                <w:rStyle w:val="Bodytext2115pt1"/>
                <w:rFonts w:eastAsia="Arial Unicode MS"/>
                <w:lang w:val="ro-RO"/>
              </w:rPr>
              <w:t>/</w:t>
            </w:r>
            <w:r w:rsidRPr="00F5644D">
              <w:rPr>
                <w:rStyle w:val="Bodytext2115pt"/>
                <w:rFonts w:eastAsia="Arial Unicode MS"/>
                <w:lang w:val="ro-RO"/>
              </w:rPr>
              <w:t>04/2016</w:t>
            </w:r>
          </w:p>
        </w:tc>
      </w:tr>
    </w:tbl>
    <w:p w:rsidR="006660B9" w:rsidRPr="00F5644D" w:rsidRDefault="006660B9" w:rsidP="003A16ED">
      <w:pPr>
        <w:spacing w:line="276" w:lineRule="auto"/>
        <w:rPr>
          <w:sz w:val="2"/>
          <w:szCs w:val="2"/>
          <w:lang w:val="ro-RO"/>
        </w:rPr>
      </w:pPr>
    </w:p>
    <w:tbl>
      <w:tblPr>
        <w:tblOverlap w:val="never"/>
        <w:tblW w:w="5000" w:type="pct"/>
        <w:tblCellMar>
          <w:left w:w="10" w:type="dxa"/>
          <w:right w:w="10" w:type="dxa"/>
        </w:tblCellMar>
        <w:tblLook w:val="00A0" w:firstRow="1" w:lastRow="0" w:firstColumn="1" w:lastColumn="0" w:noHBand="0" w:noVBand="0"/>
      </w:tblPr>
      <w:tblGrid>
        <w:gridCol w:w="1710"/>
        <w:gridCol w:w="7339"/>
      </w:tblGrid>
      <w:tr w:rsidR="006660B9" w:rsidRPr="00F5644D" w:rsidTr="003A16ED">
        <w:tc>
          <w:tcPr>
            <w:tcW w:w="945" w:type="pct"/>
            <w:vMerge w:val="restart"/>
            <w:shd w:val="clear" w:color="auto" w:fill="FFFFFF"/>
          </w:tcPr>
          <w:p w:rsidR="006660B9" w:rsidRPr="00F5644D" w:rsidRDefault="004B250B" w:rsidP="003A16ED">
            <w:pPr>
              <w:spacing w:line="276" w:lineRule="auto"/>
              <w:rPr>
                <w:sz w:val="10"/>
                <w:szCs w:val="10"/>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 o:spid="_x0000_i1025" type="#_x0000_t75" style="width:81.5pt;height:99.5pt;visibility:visible">
                  <v:imagedata r:id="rId7" o:title=""/>
                </v:shape>
              </w:pict>
            </w:r>
          </w:p>
        </w:tc>
        <w:tc>
          <w:tcPr>
            <w:tcW w:w="4055" w:type="pct"/>
            <w:shd w:val="clear" w:color="auto" w:fill="FFFFFF"/>
            <w:vAlign w:val="bottom"/>
          </w:tcPr>
          <w:p w:rsidR="006660B9" w:rsidRPr="00F5644D" w:rsidRDefault="006660B9" w:rsidP="003A16ED">
            <w:pPr>
              <w:pStyle w:val="Bodytext21"/>
              <w:shd w:val="clear" w:color="auto" w:fill="auto"/>
              <w:spacing w:line="276" w:lineRule="auto"/>
              <w:ind w:firstLine="0"/>
              <w:rPr>
                <w:lang w:val="ro-RO"/>
              </w:rPr>
            </w:pPr>
            <w:r w:rsidRPr="00F5644D">
              <w:rPr>
                <w:rStyle w:val="Bodytext2Bold"/>
                <w:rFonts w:eastAsia="Arial Unicode MS"/>
                <w:lang w:val="ro-RO"/>
              </w:rPr>
              <w:t>Conseil des barreaux europeens</w:t>
            </w:r>
          </w:p>
        </w:tc>
      </w:tr>
      <w:tr w:rsidR="006660B9" w:rsidRPr="00F5644D" w:rsidTr="003A16ED">
        <w:tc>
          <w:tcPr>
            <w:tcW w:w="945" w:type="pct"/>
            <w:vMerge/>
            <w:shd w:val="clear" w:color="auto" w:fill="FFFFFF"/>
          </w:tcPr>
          <w:p w:rsidR="006660B9" w:rsidRPr="00F5644D" w:rsidRDefault="006660B9" w:rsidP="003A16ED">
            <w:pPr>
              <w:spacing w:line="276" w:lineRule="auto"/>
              <w:rPr>
                <w:lang w:val="ro-RO"/>
              </w:rPr>
            </w:pPr>
          </w:p>
        </w:tc>
        <w:tc>
          <w:tcPr>
            <w:tcW w:w="4055" w:type="pct"/>
            <w:shd w:val="clear" w:color="auto" w:fill="FFFFFF"/>
            <w:vAlign w:val="bottom"/>
          </w:tcPr>
          <w:p w:rsidR="006660B9" w:rsidRPr="00F5644D" w:rsidRDefault="006660B9" w:rsidP="005D6F40">
            <w:pPr>
              <w:pStyle w:val="Bodytext21"/>
              <w:shd w:val="clear" w:color="auto" w:fill="auto"/>
              <w:spacing w:line="276" w:lineRule="auto"/>
              <w:ind w:firstLine="0"/>
              <w:rPr>
                <w:lang w:val="ro-RO"/>
              </w:rPr>
            </w:pPr>
            <w:r w:rsidRPr="00F5644D">
              <w:rPr>
                <w:rStyle w:val="Bodytext2Bold"/>
                <w:rFonts w:eastAsia="Arial Unicode MS"/>
                <w:lang w:val="ro-RO"/>
              </w:rPr>
              <w:t xml:space="preserve">Consiliul Barourilor </w:t>
            </w:r>
            <w:r>
              <w:rPr>
                <w:rStyle w:val="Bodytext2Bold"/>
                <w:rFonts w:eastAsia="Arial Unicode MS"/>
                <w:lang w:val="ro-RO"/>
              </w:rPr>
              <w:t>ş</w:t>
            </w:r>
            <w:r w:rsidRPr="00F5644D">
              <w:rPr>
                <w:rStyle w:val="Bodytext2Bold"/>
                <w:rFonts w:eastAsia="Arial Unicode MS"/>
                <w:lang w:val="ro-RO"/>
              </w:rPr>
              <w:t>i al Societă</w:t>
            </w:r>
            <w:r>
              <w:rPr>
                <w:rStyle w:val="Bodytext2Bold"/>
                <w:rFonts w:eastAsia="Arial Unicode MS"/>
                <w:lang w:val="ro-RO"/>
              </w:rPr>
              <w:t>ţ</w:t>
            </w:r>
            <w:r w:rsidRPr="00F5644D">
              <w:rPr>
                <w:rStyle w:val="Bodytext2Bold"/>
                <w:rFonts w:eastAsia="Arial Unicode MS"/>
                <w:lang w:val="ro-RO"/>
              </w:rPr>
              <w:t>ilor de Drept din Europa</w:t>
            </w:r>
          </w:p>
        </w:tc>
      </w:tr>
      <w:tr w:rsidR="006660B9" w:rsidRPr="00F5644D" w:rsidTr="003A16ED">
        <w:tc>
          <w:tcPr>
            <w:tcW w:w="945" w:type="pct"/>
            <w:vMerge/>
            <w:shd w:val="clear" w:color="auto" w:fill="FFFFFF"/>
          </w:tcPr>
          <w:p w:rsidR="006660B9" w:rsidRPr="00F5644D" w:rsidRDefault="006660B9" w:rsidP="003A16ED">
            <w:pPr>
              <w:spacing w:line="276" w:lineRule="auto"/>
              <w:rPr>
                <w:lang w:val="ro-RO"/>
              </w:rPr>
            </w:pPr>
          </w:p>
        </w:tc>
        <w:tc>
          <w:tcPr>
            <w:tcW w:w="4055" w:type="pct"/>
            <w:shd w:val="clear" w:color="auto" w:fill="FFFFFF"/>
          </w:tcPr>
          <w:p w:rsidR="006660B9" w:rsidRPr="00F5644D" w:rsidRDefault="006660B9" w:rsidP="003A16ED">
            <w:pPr>
              <w:pStyle w:val="Bodytext21"/>
              <w:shd w:val="clear" w:color="auto" w:fill="auto"/>
              <w:spacing w:line="276" w:lineRule="auto"/>
              <w:ind w:firstLine="0"/>
              <w:rPr>
                <w:lang w:val="ro-RO"/>
              </w:rPr>
            </w:pPr>
            <w:r w:rsidRPr="00F5644D">
              <w:rPr>
                <w:rStyle w:val="Bodytext265pt"/>
                <w:rFonts w:eastAsia="Arial Unicode MS"/>
                <w:lang w:val="ro-RO"/>
              </w:rPr>
              <w:t>Association internationale sans but lucratif</w:t>
            </w:r>
          </w:p>
        </w:tc>
      </w:tr>
      <w:tr w:rsidR="006660B9" w:rsidRPr="00F5644D" w:rsidTr="003A16ED">
        <w:trPr>
          <w:trHeight w:val="481"/>
        </w:trPr>
        <w:tc>
          <w:tcPr>
            <w:tcW w:w="945" w:type="pct"/>
            <w:vMerge/>
            <w:shd w:val="clear" w:color="auto" w:fill="FFFFFF"/>
          </w:tcPr>
          <w:p w:rsidR="006660B9" w:rsidRPr="00F5644D" w:rsidRDefault="006660B9" w:rsidP="003A16ED">
            <w:pPr>
              <w:spacing w:line="276" w:lineRule="auto"/>
              <w:rPr>
                <w:lang w:val="ro-RO"/>
              </w:rPr>
            </w:pPr>
          </w:p>
        </w:tc>
        <w:tc>
          <w:tcPr>
            <w:tcW w:w="4055" w:type="pct"/>
            <w:vMerge w:val="restart"/>
            <w:shd w:val="clear" w:color="auto" w:fill="FFFFFF"/>
            <w:vAlign w:val="bottom"/>
          </w:tcPr>
          <w:p w:rsidR="006660B9" w:rsidRPr="00F5644D" w:rsidRDefault="006660B9" w:rsidP="003A16ED">
            <w:pPr>
              <w:pStyle w:val="Bodytext21"/>
              <w:shd w:val="clear" w:color="auto" w:fill="auto"/>
              <w:spacing w:line="276" w:lineRule="auto"/>
              <w:ind w:firstLine="0"/>
              <w:rPr>
                <w:lang w:val="ro-RO"/>
              </w:rPr>
            </w:pPr>
            <w:r w:rsidRPr="00F5644D">
              <w:rPr>
                <w:rStyle w:val="Bodytext28pt"/>
                <w:rFonts w:eastAsia="Arial Unicode MS"/>
                <w:lang w:val="ro-RO"/>
              </w:rPr>
              <w:t>Rue Joseph II, 40 /8 - 1000 Bruxelles</w:t>
            </w:r>
          </w:p>
        </w:tc>
      </w:tr>
      <w:tr w:rsidR="006660B9" w:rsidRPr="00F5644D" w:rsidTr="003A16ED">
        <w:trPr>
          <w:trHeight w:val="481"/>
        </w:trPr>
        <w:tc>
          <w:tcPr>
            <w:tcW w:w="945" w:type="pct"/>
            <w:vMerge/>
            <w:shd w:val="clear" w:color="auto" w:fill="FFFFFF"/>
          </w:tcPr>
          <w:p w:rsidR="006660B9" w:rsidRPr="00F5644D" w:rsidRDefault="006660B9" w:rsidP="003A16ED">
            <w:pPr>
              <w:spacing w:line="276" w:lineRule="auto"/>
              <w:rPr>
                <w:lang w:val="ro-RO"/>
              </w:rPr>
            </w:pPr>
          </w:p>
        </w:tc>
        <w:tc>
          <w:tcPr>
            <w:tcW w:w="4055" w:type="pct"/>
            <w:vMerge/>
            <w:shd w:val="clear" w:color="auto" w:fill="FFFFFF"/>
            <w:vAlign w:val="bottom"/>
          </w:tcPr>
          <w:p w:rsidR="006660B9" w:rsidRPr="00F5644D" w:rsidRDefault="006660B9" w:rsidP="003A16ED">
            <w:pPr>
              <w:spacing w:line="276" w:lineRule="auto"/>
              <w:rPr>
                <w:lang w:val="ro-RO"/>
              </w:rPr>
            </w:pPr>
          </w:p>
        </w:tc>
      </w:tr>
      <w:tr w:rsidR="006660B9" w:rsidRPr="00F5644D" w:rsidTr="003A16ED">
        <w:tc>
          <w:tcPr>
            <w:tcW w:w="945" w:type="pct"/>
            <w:vMerge/>
            <w:shd w:val="clear" w:color="auto" w:fill="FFFFFF"/>
          </w:tcPr>
          <w:p w:rsidR="006660B9" w:rsidRPr="00F5644D" w:rsidRDefault="006660B9" w:rsidP="003A16ED">
            <w:pPr>
              <w:spacing w:line="276" w:lineRule="auto"/>
              <w:rPr>
                <w:lang w:val="ro-RO"/>
              </w:rPr>
            </w:pPr>
          </w:p>
        </w:tc>
        <w:tc>
          <w:tcPr>
            <w:tcW w:w="4055" w:type="pct"/>
            <w:shd w:val="clear" w:color="auto" w:fill="FFFFFF"/>
            <w:vAlign w:val="bottom"/>
          </w:tcPr>
          <w:p w:rsidR="006660B9" w:rsidRPr="00F5644D" w:rsidRDefault="006660B9" w:rsidP="003A16ED">
            <w:pPr>
              <w:pStyle w:val="Bodytext21"/>
              <w:shd w:val="clear" w:color="auto" w:fill="auto"/>
              <w:spacing w:line="276" w:lineRule="auto"/>
              <w:ind w:firstLine="0"/>
              <w:rPr>
                <w:lang w:val="ro-RO"/>
              </w:rPr>
            </w:pPr>
            <w:r w:rsidRPr="00F5644D">
              <w:rPr>
                <w:rStyle w:val="Bodytext28pt"/>
                <w:rFonts w:eastAsia="Arial Unicode MS"/>
                <w:lang w:val="ro-RO"/>
              </w:rPr>
              <w:t>T. : +32 (0)2 234 65 10</w:t>
            </w:r>
          </w:p>
        </w:tc>
      </w:tr>
      <w:tr w:rsidR="006660B9" w:rsidRPr="00F5644D" w:rsidTr="003A16ED">
        <w:trPr>
          <w:trHeight w:val="52"/>
        </w:trPr>
        <w:tc>
          <w:tcPr>
            <w:tcW w:w="945" w:type="pct"/>
            <w:vMerge/>
            <w:shd w:val="clear" w:color="auto" w:fill="FFFFFF"/>
          </w:tcPr>
          <w:p w:rsidR="006660B9" w:rsidRPr="00F5644D" w:rsidRDefault="006660B9" w:rsidP="003A16ED">
            <w:pPr>
              <w:spacing w:line="276" w:lineRule="auto"/>
              <w:rPr>
                <w:lang w:val="ro-RO"/>
              </w:rPr>
            </w:pPr>
          </w:p>
        </w:tc>
        <w:tc>
          <w:tcPr>
            <w:tcW w:w="4055" w:type="pct"/>
            <w:tcBorders>
              <w:bottom w:val="single" w:sz="4" w:space="0" w:color="auto"/>
            </w:tcBorders>
            <w:shd w:val="clear" w:color="auto" w:fill="FFFFFF"/>
            <w:vAlign w:val="bottom"/>
          </w:tcPr>
          <w:p w:rsidR="006660B9" w:rsidRPr="00F5644D" w:rsidRDefault="006660B9" w:rsidP="003A16ED">
            <w:pPr>
              <w:pStyle w:val="Bodytext21"/>
              <w:shd w:val="clear" w:color="auto" w:fill="auto"/>
              <w:spacing w:line="276" w:lineRule="auto"/>
              <w:ind w:firstLine="0"/>
              <w:rPr>
                <w:lang w:val="ro-RO"/>
              </w:rPr>
            </w:pPr>
            <w:r w:rsidRPr="00F5644D">
              <w:rPr>
                <w:rStyle w:val="Bodytext28pt"/>
                <w:rFonts w:eastAsia="Arial Unicode MS"/>
                <w:lang w:val="ro-RO"/>
              </w:rPr>
              <w:t>Email:</w:t>
            </w:r>
            <w:hyperlink r:id="rId8" w:history="1">
              <w:r w:rsidRPr="00F5644D">
                <w:rPr>
                  <w:rStyle w:val="Bodytext28pt"/>
                  <w:rFonts w:eastAsia="Arial Unicode MS"/>
                  <w:lang w:val="ro-RO"/>
                </w:rPr>
                <w:t xml:space="preserve"> </w:t>
              </w:r>
              <w:r w:rsidRPr="00F5644D">
                <w:rPr>
                  <w:rStyle w:val="Bodytext28pt1"/>
                  <w:rFonts w:eastAsia="Arial Unicode MS"/>
                  <w:lang w:val="ro-RO"/>
                </w:rPr>
                <w:t xml:space="preserve">ccbe@ccbe.eu </w:t>
              </w:r>
            </w:hyperlink>
            <w:r w:rsidRPr="00F5644D">
              <w:rPr>
                <w:rStyle w:val="Bodytext28pt"/>
                <w:rFonts w:eastAsia="Arial Unicode MS"/>
                <w:lang w:val="ro-RO"/>
              </w:rPr>
              <w:t>-</w:t>
            </w:r>
            <w:hyperlink r:id="rId9" w:history="1">
              <w:r w:rsidRPr="00F5644D">
                <w:rPr>
                  <w:rStyle w:val="Bodytext28pt"/>
                  <w:rFonts w:eastAsia="Arial Unicode MS"/>
                  <w:lang w:val="ro-RO"/>
                </w:rPr>
                <w:t xml:space="preserve"> </w:t>
              </w:r>
              <w:r w:rsidRPr="00F5644D">
                <w:rPr>
                  <w:rStyle w:val="Bodytext28pt1"/>
                  <w:rFonts w:eastAsia="Arial Unicode MS"/>
                  <w:lang w:val="ro-RO"/>
                </w:rPr>
                <w:t>www.ccbe.eu</w:t>
              </w:r>
            </w:hyperlink>
          </w:p>
        </w:tc>
      </w:tr>
    </w:tbl>
    <w:p w:rsidR="006660B9" w:rsidRPr="00F5644D" w:rsidRDefault="006660B9" w:rsidP="003A16ED">
      <w:pPr>
        <w:rPr>
          <w:lang w:val="ro-RO"/>
        </w:rPr>
      </w:pPr>
    </w:p>
    <w:p w:rsidR="006660B9" w:rsidRPr="00F5644D" w:rsidRDefault="006660B9" w:rsidP="003A16ED">
      <w:pPr>
        <w:pStyle w:val="Heading10"/>
        <w:keepNext/>
        <w:keepLines/>
        <w:shd w:val="clear" w:color="auto" w:fill="auto"/>
        <w:spacing w:line="276" w:lineRule="auto"/>
        <w:rPr>
          <w:lang w:val="ro-RO"/>
        </w:rPr>
      </w:pPr>
      <w:bookmarkStart w:id="2" w:name="_Toc452658675"/>
      <w:bookmarkStart w:id="3" w:name="OLE_LINK9"/>
      <w:bookmarkStart w:id="4" w:name="OLE_LINK10"/>
      <w:r w:rsidRPr="00F5644D">
        <w:rPr>
          <w:lang w:val="ro-RO"/>
        </w:rPr>
        <w:t>SUMAR EXECUTIV</w:t>
      </w:r>
      <w:bookmarkEnd w:id="2"/>
    </w:p>
    <w:p w:rsidR="006660B9" w:rsidRPr="00F5644D" w:rsidRDefault="006660B9" w:rsidP="003A16ED">
      <w:pPr>
        <w:pStyle w:val="Bodytext31"/>
        <w:shd w:val="clear" w:color="auto" w:fill="auto"/>
        <w:spacing w:before="240" w:line="276" w:lineRule="auto"/>
        <w:ind w:firstLine="0"/>
        <w:rPr>
          <w:lang w:val="ro-RO"/>
        </w:rPr>
      </w:pPr>
      <w:r w:rsidRPr="00F5644D">
        <w:rPr>
          <w:lang w:val="ro-RO"/>
        </w:rPr>
        <w:t>“Obliga</w:t>
      </w:r>
      <w:r>
        <w:rPr>
          <w:lang w:val="ro-RO"/>
        </w:rPr>
        <w:t>ţ</w:t>
      </w:r>
      <w:r w:rsidRPr="00F5644D">
        <w:rPr>
          <w:lang w:val="ro-RO"/>
        </w:rPr>
        <w:t>ia avocatului de a respecta confiden</w:t>
      </w:r>
      <w:r>
        <w:rPr>
          <w:lang w:val="ro-RO"/>
        </w:rPr>
        <w:t>ţ</w:t>
      </w:r>
      <w:r w:rsidRPr="00F5644D">
        <w:rPr>
          <w:lang w:val="ro-RO"/>
        </w:rPr>
        <w:t xml:space="preserve">ialitatea </w:t>
      </w:r>
      <w:r w:rsidRPr="00F5644D">
        <w:rPr>
          <w:kern w:val="1"/>
          <w:lang w:val="ro-RO"/>
        </w:rPr>
        <w:t>serveşte atât intereselor administrării justiţiei, cât şi intereselor clientului. În consecinţă, aceasta trebuie să beneficieze de o protecţie specială din partea statului</w:t>
      </w:r>
      <w:r w:rsidRPr="00F5644D">
        <w:rPr>
          <w:lang w:val="ro-RO"/>
        </w:rPr>
        <w:t>. ”</w:t>
      </w:r>
    </w:p>
    <w:p w:rsidR="006660B9" w:rsidRPr="00F5644D" w:rsidRDefault="006660B9" w:rsidP="00367599">
      <w:pPr>
        <w:pStyle w:val="Bodytext21"/>
        <w:shd w:val="clear" w:color="auto" w:fill="auto"/>
        <w:spacing w:before="240" w:line="276" w:lineRule="auto"/>
        <w:ind w:firstLine="0"/>
        <w:jc w:val="right"/>
        <w:rPr>
          <w:lang w:val="ro-RO"/>
        </w:rPr>
      </w:pPr>
      <w:r w:rsidRPr="00F5644D">
        <w:rPr>
          <w:lang w:val="ro-RO"/>
        </w:rPr>
        <w:t>- Codul deontologic al CCBE, articolul 2.3</w:t>
      </w:r>
    </w:p>
    <w:bookmarkEnd w:id="3"/>
    <w:bookmarkEnd w:id="4"/>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Scopul prezentului document este de a informa legislatorii </w:t>
      </w:r>
      <w:r>
        <w:rPr>
          <w:lang w:val="ro-RO"/>
        </w:rPr>
        <w:t>ş</w:t>
      </w:r>
      <w:r w:rsidRPr="00F5644D">
        <w:rPr>
          <w:lang w:val="ro-RO"/>
        </w:rPr>
        <w:t>i factorii decizionali în privin</w:t>
      </w:r>
      <w:r>
        <w:rPr>
          <w:lang w:val="ro-RO"/>
        </w:rPr>
        <w:t>ţ</w:t>
      </w:r>
      <w:r w:rsidRPr="00F5644D">
        <w:rPr>
          <w:lang w:val="ro-RO"/>
        </w:rPr>
        <w:t>a standardelor care trebuie respectate pentru a asigura că principiile esen</w:t>
      </w:r>
      <w:r>
        <w:rPr>
          <w:lang w:val="ro-RO"/>
        </w:rPr>
        <w:t>ţ</w:t>
      </w:r>
      <w:r w:rsidRPr="00F5644D">
        <w:rPr>
          <w:lang w:val="ro-RO"/>
        </w:rPr>
        <w:t xml:space="preserve">iale ale secretului profesional </w:t>
      </w:r>
      <w:r>
        <w:rPr>
          <w:lang w:val="ro-RO"/>
        </w:rPr>
        <w:t>ş</w:t>
      </w:r>
      <w:r w:rsidRPr="00F5644D">
        <w:rPr>
          <w:lang w:val="ro-RO"/>
        </w:rPr>
        <w:t xml:space="preserve">i privilegiului profesiei juridice nu sunt subminate de practici ale statului ce implică interceptarea comunicărilor </w:t>
      </w:r>
      <w:r>
        <w:rPr>
          <w:lang w:val="ro-RO"/>
        </w:rPr>
        <w:t>ş</w:t>
      </w:r>
      <w:r w:rsidRPr="00F5644D">
        <w:rPr>
          <w:lang w:val="ro-RO"/>
        </w:rPr>
        <w:t>i accesul la datele avoca</w:t>
      </w:r>
      <w:r>
        <w:rPr>
          <w:lang w:val="ro-RO"/>
        </w:rPr>
        <w:t>ţ</w:t>
      </w:r>
      <w:r w:rsidRPr="00F5644D">
        <w:rPr>
          <w:lang w:val="ro-RO"/>
        </w:rPr>
        <w:t xml:space="preserve">ilor în scopul supravegherii </w:t>
      </w:r>
      <w:r>
        <w:rPr>
          <w:lang w:val="ro-RO"/>
        </w:rPr>
        <w:t>ş</w:t>
      </w:r>
      <w:r w:rsidRPr="00F5644D">
        <w:rPr>
          <w:lang w:val="ro-RO"/>
        </w:rPr>
        <w:t>i/sau al aplicării legii.</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Partea I eviden</w:t>
      </w:r>
      <w:r>
        <w:rPr>
          <w:lang w:val="ro-RO"/>
        </w:rPr>
        <w:t>ţ</w:t>
      </w:r>
      <w:r w:rsidRPr="00F5644D">
        <w:rPr>
          <w:lang w:val="ro-RO"/>
        </w:rPr>
        <w:t xml:space="preserve">iază sensul </w:t>
      </w:r>
      <w:r>
        <w:rPr>
          <w:lang w:val="ro-RO"/>
        </w:rPr>
        <w:t>ş</w:t>
      </w:r>
      <w:r w:rsidRPr="00F5644D">
        <w:rPr>
          <w:lang w:val="ro-RO"/>
        </w:rPr>
        <w:t>i domeniul de aplicare a confiden</w:t>
      </w:r>
      <w:r>
        <w:rPr>
          <w:lang w:val="ro-RO"/>
        </w:rPr>
        <w:t>ţ</w:t>
      </w:r>
      <w:r w:rsidRPr="00F5644D">
        <w:rPr>
          <w:lang w:val="ro-RO"/>
        </w:rPr>
        <w:t>ialită</w:t>
      </w:r>
      <w:r>
        <w:rPr>
          <w:lang w:val="ro-RO"/>
        </w:rPr>
        <w:t>ţ</w:t>
      </w:r>
      <w:r w:rsidRPr="00F5644D">
        <w:rPr>
          <w:lang w:val="ro-RO"/>
        </w:rPr>
        <w:t>ii datelor clientului, prin prezentarea acestui concept în contextul drepturilor consfin</w:t>
      </w:r>
      <w:r>
        <w:rPr>
          <w:lang w:val="ro-RO"/>
        </w:rPr>
        <w:t>ţ</w:t>
      </w:r>
      <w:r w:rsidRPr="00F5644D">
        <w:rPr>
          <w:lang w:val="ro-RO"/>
        </w:rPr>
        <w:t>ite p</w:t>
      </w:r>
      <w:r>
        <w:rPr>
          <w:lang w:val="ro-RO"/>
        </w:rPr>
        <w:t>rin legislaţia UE şi Convenţia e</w:t>
      </w:r>
      <w:r w:rsidRPr="00F5644D">
        <w:rPr>
          <w:lang w:val="ro-RO"/>
        </w:rPr>
        <w:t xml:space="preserve">uropeană a </w:t>
      </w:r>
      <w:r>
        <w:rPr>
          <w:lang w:val="ro-RO"/>
        </w:rPr>
        <w:t>d</w:t>
      </w:r>
      <w:r w:rsidRPr="00F5644D">
        <w:rPr>
          <w:lang w:val="ro-RO"/>
        </w:rPr>
        <w:t xml:space="preserve">repturilor </w:t>
      </w:r>
      <w:r>
        <w:rPr>
          <w:lang w:val="ro-RO"/>
        </w:rPr>
        <w:t>o</w:t>
      </w:r>
      <w:r w:rsidRPr="00F5644D">
        <w:rPr>
          <w:lang w:val="ro-RO"/>
        </w:rPr>
        <w:t xml:space="preserve">mului, </w:t>
      </w:r>
      <w:r>
        <w:rPr>
          <w:lang w:val="ro-RO"/>
        </w:rPr>
        <w:t>ş</w:t>
      </w:r>
      <w:r w:rsidRPr="00F5644D">
        <w:rPr>
          <w:lang w:val="ro-RO"/>
        </w:rPr>
        <w:t>i al abordării adoptate de instan</w:t>
      </w:r>
      <w:r>
        <w:rPr>
          <w:lang w:val="ro-RO"/>
        </w:rPr>
        <w:t>ţ</w:t>
      </w:r>
      <w:r w:rsidRPr="00F5644D">
        <w:rPr>
          <w:lang w:val="ro-RO"/>
        </w:rPr>
        <w:t>ele europene. Documentul de fa</w:t>
      </w:r>
      <w:r>
        <w:rPr>
          <w:lang w:val="ro-RO"/>
        </w:rPr>
        <w:t>ţ</w:t>
      </w:r>
      <w:r w:rsidRPr="00F5644D">
        <w:rPr>
          <w:lang w:val="ro-RO"/>
        </w:rPr>
        <w:t>ă demonstrează că atât Conven</w:t>
      </w:r>
      <w:r>
        <w:rPr>
          <w:lang w:val="ro-RO"/>
        </w:rPr>
        <w:t>ţ</w:t>
      </w:r>
      <w:r w:rsidRPr="00F5644D">
        <w:rPr>
          <w:lang w:val="ro-RO"/>
        </w:rPr>
        <w:t xml:space="preserve">ia, cât </w:t>
      </w:r>
      <w:r>
        <w:rPr>
          <w:lang w:val="ro-RO"/>
        </w:rPr>
        <w:t>ş</w:t>
      </w:r>
      <w:r w:rsidRPr="00F5644D">
        <w:rPr>
          <w:lang w:val="ro-RO"/>
        </w:rPr>
        <w:t>i legisla</w:t>
      </w:r>
      <w:r>
        <w:rPr>
          <w:lang w:val="ro-RO"/>
        </w:rPr>
        <w:t>ţ</w:t>
      </w:r>
      <w:r w:rsidRPr="00F5644D">
        <w:rPr>
          <w:lang w:val="ro-RO"/>
        </w:rPr>
        <w:t>ia UE protejează confiden</w:t>
      </w:r>
      <w:r>
        <w:rPr>
          <w:lang w:val="ro-RO"/>
        </w:rPr>
        <w:t>ţ</w:t>
      </w:r>
      <w:r w:rsidRPr="00F5644D">
        <w:rPr>
          <w:lang w:val="ro-RO"/>
        </w:rPr>
        <w:t>ialitatea comunicărilor între avoca</w:t>
      </w:r>
      <w:r>
        <w:rPr>
          <w:lang w:val="ro-RO"/>
        </w:rPr>
        <w:t>ţ</w:t>
      </w:r>
      <w:r w:rsidRPr="00F5644D">
        <w:rPr>
          <w:lang w:val="ro-RO"/>
        </w:rPr>
        <w:t xml:space="preserve">i </w:t>
      </w:r>
      <w:r>
        <w:rPr>
          <w:lang w:val="ro-RO"/>
        </w:rPr>
        <w:t>ş</w:t>
      </w:r>
      <w:r w:rsidRPr="00F5644D">
        <w:rPr>
          <w:lang w:val="ro-RO"/>
        </w:rPr>
        <w:t>i clien</w:t>
      </w:r>
      <w:r>
        <w:rPr>
          <w:lang w:val="ro-RO"/>
        </w:rPr>
        <w:t>ţ</w:t>
      </w:r>
      <w:r w:rsidRPr="00F5644D">
        <w:rPr>
          <w:lang w:val="ro-RO"/>
        </w:rPr>
        <w:t>ii acestora, iar instan</w:t>
      </w:r>
      <w:r>
        <w:rPr>
          <w:lang w:val="ro-RO"/>
        </w:rPr>
        <w:t>ţ</w:t>
      </w:r>
      <w:r w:rsidRPr="00F5644D">
        <w:rPr>
          <w:lang w:val="ro-RO"/>
        </w:rPr>
        <w:t xml:space="preserve">ele europene </w:t>
      </w:r>
      <w:r>
        <w:rPr>
          <w:lang w:val="ro-RO"/>
        </w:rPr>
        <w:t>ş</w:t>
      </w:r>
      <w:r w:rsidRPr="00F5644D">
        <w:rPr>
          <w:lang w:val="ro-RO"/>
        </w:rPr>
        <w:t>i alte organisme europene relevante îi acordă, la rândul lor, o importan</w:t>
      </w:r>
      <w:r>
        <w:rPr>
          <w:lang w:val="ro-RO"/>
        </w:rPr>
        <w:t>ţ</w:t>
      </w:r>
      <w:r w:rsidRPr="00F5644D">
        <w:rPr>
          <w:lang w:val="ro-RO"/>
        </w:rPr>
        <w:t>ă deosebită. Confiden</w:t>
      </w:r>
      <w:r>
        <w:rPr>
          <w:lang w:val="ro-RO"/>
        </w:rPr>
        <w:t>ţ</w:t>
      </w:r>
      <w:r w:rsidRPr="00F5644D">
        <w:rPr>
          <w:lang w:val="ro-RO"/>
        </w:rPr>
        <w:t xml:space="preserve">ialitatea nu este văzută numai ca o datorie a avocatului, ci </w:t>
      </w:r>
      <w:r>
        <w:rPr>
          <w:lang w:val="ro-RO"/>
        </w:rPr>
        <w:t>ş</w:t>
      </w:r>
      <w:r w:rsidRPr="00F5644D">
        <w:rPr>
          <w:lang w:val="ro-RO"/>
        </w:rPr>
        <w:t>i ca un drept fundamental al clientului. Fără garan</w:t>
      </w:r>
      <w:r>
        <w:rPr>
          <w:lang w:val="ro-RO"/>
        </w:rPr>
        <w:t>ţ</w:t>
      </w:r>
      <w:r w:rsidRPr="00F5644D">
        <w:rPr>
          <w:lang w:val="ro-RO"/>
        </w:rPr>
        <w:t>ia confiden</w:t>
      </w:r>
      <w:r>
        <w:rPr>
          <w:lang w:val="ro-RO"/>
        </w:rPr>
        <w:t>ţ</w:t>
      </w:r>
      <w:r w:rsidRPr="00F5644D">
        <w:rPr>
          <w:lang w:val="ro-RO"/>
        </w:rPr>
        <w:t>ialită</w:t>
      </w:r>
      <w:r>
        <w:rPr>
          <w:lang w:val="ro-RO"/>
        </w:rPr>
        <w:t>ţ</w:t>
      </w:r>
      <w:r w:rsidRPr="00F5644D">
        <w:rPr>
          <w:lang w:val="ro-RO"/>
        </w:rPr>
        <w:t>ii nu poate exista încredere, iar aceasta este esen</w:t>
      </w:r>
      <w:r>
        <w:rPr>
          <w:lang w:val="ro-RO"/>
        </w:rPr>
        <w:t>ţ</w:t>
      </w:r>
      <w:r w:rsidRPr="00F5644D">
        <w:rPr>
          <w:lang w:val="ro-RO"/>
        </w:rPr>
        <w:t>ială pentru funcţionarea adecvată a procesului de administrarea a actelor de justiţie şi a statului de drept.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Recomandările cuprinse în Partea II a prezentului vizează asigurarea respectării acestui principiu, precizând următoarele condi</w:t>
      </w:r>
      <w:r>
        <w:rPr>
          <w:lang w:val="ro-RO"/>
        </w:rPr>
        <w:t>ţ</w:t>
      </w:r>
      <w:r w:rsidRPr="00F5644D">
        <w:rPr>
          <w:lang w:val="ro-RO"/>
        </w:rPr>
        <w:t>ii principale:</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rStyle w:val="Bodytext2Bold1"/>
          <w:rFonts w:eastAsia="Arial Unicode MS"/>
          <w:lang w:val="ro-RO"/>
        </w:rPr>
        <w:t xml:space="preserve">Principiul general: </w:t>
      </w:r>
      <w:r w:rsidRPr="00F5644D">
        <w:rPr>
          <w:lang w:val="ro-RO"/>
        </w:rPr>
        <w:t xml:space="preserve">orice act de supraveghere directă sau indirectă întreprins de stat trebuie să se înscrie în limitele principiilor statului de drept, cu respectarea principiului că orice date </w:t>
      </w:r>
      <w:r>
        <w:rPr>
          <w:lang w:val="ro-RO"/>
        </w:rPr>
        <w:t>ş</w:t>
      </w:r>
      <w:r w:rsidRPr="00F5644D">
        <w:rPr>
          <w:lang w:val="ro-RO"/>
        </w:rPr>
        <w:t xml:space="preserve">i comunicări protejate de privilegiul profesiei juridice </w:t>
      </w:r>
      <w:r>
        <w:rPr>
          <w:lang w:val="ro-RO"/>
        </w:rPr>
        <w:t>ş</w:t>
      </w:r>
      <w:r w:rsidRPr="00F5644D">
        <w:rPr>
          <w:lang w:val="ro-RO"/>
        </w:rPr>
        <w:t>i de obliga</w:t>
      </w:r>
      <w:r>
        <w:rPr>
          <w:lang w:val="ro-RO"/>
        </w:rPr>
        <w:t>ţ</w:t>
      </w:r>
      <w:r w:rsidRPr="00F5644D">
        <w:rPr>
          <w:lang w:val="ro-RO"/>
        </w:rPr>
        <w:t xml:space="preserve">ia păstrării secretului profesional sunt inviolabile </w:t>
      </w:r>
      <w:r>
        <w:rPr>
          <w:lang w:val="ro-RO"/>
        </w:rPr>
        <w:t>ş</w:t>
      </w:r>
      <w:r w:rsidRPr="00F5644D">
        <w:rPr>
          <w:lang w:val="ro-RO"/>
        </w:rPr>
        <w:t>i nu pot face obiectul interceptării sau supravegherii.</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b/>
          <w:lang w:val="ro-RO"/>
        </w:rPr>
        <w:t>Nevoia de control legislativ</w:t>
      </w:r>
      <w:r w:rsidRPr="00F5644D">
        <w:rPr>
          <w:rStyle w:val="Bodytext2Bold1"/>
          <w:rFonts w:eastAsia="Arial Unicode MS"/>
          <w:lang w:val="ro-RO"/>
        </w:rPr>
        <w:t xml:space="preserve">: </w:t>
      </w:r>
      <w:r w:rsidRPr="00F5644D">
        <w:rPr>
          <w:bCs/>
          <w:lang w:val="ro-RO"/>
        </w:rPr>
        <w:t>activităţile de supraveghere trebuie reglementate cu un grad adecvat de</w:t>
      </w:r>
      <w:r w:rsidRPr="00F5644D">
        <w:rPr>
          <w:b/>
          <w:bCs/>
          <w:lang w:val="ro-RO"/>
        </w:rPr>
        <w:t xml:space="preserve"> </w:t>
      </w:r>
      <w:r w:rsidRPr="00F5644D">
        <w:rPr>
          <w:lang w:val="ro-RO"/>
        </w:rPr>
        <w:t>detaliere prin legisla</w:t>
      </w:r>
      <w:r>
        <w:rPr>
          <w:lang w:val="ro-RO"/>
        </w:rPr>
        <w:t>ţ</w:t>
      </w:r>
      <w:r w:rsidRPr="00F5644D">
        <w:rPr>
          <w:lang w:val="ro-RO"/>
        </w:rPr>
        <w:t>ie primară care trebuie să prevadă în mod explicit protec</w:t>
      </w:r>
      <w:r>
        <w:rPr>
          <w:lang w:val="ro-RO"/>
        </w:rPr>
        <w:t>ţ</w:t>
      </w:r>
      <w:r w:rsidRPr="00F5644D">
        <w:rPr>
          <w:lang w:val="ro-RO"/>
        </w:rPr>
        <w:t xml:space="preserve">ia comunicărilor între avocat </w:t>
      </w:r>
      <w:r>
        <w:rPr>
          <w:lang w:val="ro-RO"/>
        </w:rPr>
        <w:t>ş</w:t>
      </w:r>
      <w:r w:rsidRPr="00F5644D">
        <w:rPr>
          <w:lang w:val="ro-RO"/>
        </w:rPr>
        <w:t>i client. De asemenea, în cazul externalizării activită</w:t>
      </w:r>
      <w:r>
        <w:rPr>
          <w:lang w:val="ro-RO"/>
        </w:rPr>
        <w:t>ţ</w:t>
      </w:r>
      <w:r w:rsidRPr="00F5644D">
        <w:rPr>
          <w:lang w:val="ro-RO"/>
        </w:rPr>
        <w:t>ilor de supraveghere către persoane private, guvernul trebuie să de</w:t>
      </w:r>
      <w:r>
        <w:rPr>
          <w:lang w:val="ro-RO"/>
        </w:rPr>
        <w:t>ţ</w:t>
      </w:r>
      <w:r w:rsidRPr="00F5644D">
        <w:rPr>
          <w:lang w:val="ro-RO"/>
        </w:rPr>
        <w:t xml:space="preserve">ină întotdeauna controlul deplin asupra întregului proces de supraveghere. Decriptarea datelor poate fi permisă numai dacă este definită în mod legal, în urma unui proces adecvat </w:t>
      </w:r>
      <w:r>
        <w:rPr>
          <w:lang w:val="ro-RO"/>
        </w:rPr>
        <w:t>ş</w:t>
      </w:r>
      <w:r w:rsidRPr="00F5644D">
        <w:rPr>
          <w:lang w:val="ro-RO"/>
        </w:rPr>
        <w:t>i a unei autorizări judiciare prealabile.</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rStyle w:val="Bodytext2Bold1"/>
          <w:rFonts w:eastAsia="Arial Unicode MS"/>
          <w:lang w:val="ro-RO"/>
        </w:rPr>
        <w:t xml:space="preserve">Amploarea admisă a interceptărilor: </w:t>
      </w:r>
      <w:r w:rsidRPr="00F5644D">
        <w:rPr>
          <w:lang w:val="ro-RO"/>
        </w:rPr>
        <w:t>numai comunicările care nu se încadrează în categoria secretului profesional sau privilegiului profesiei juridice pot fi interceptate. Niciun sistem nu protejează comunicările în cazul în care avocatul este implicat în punerea la cale a unei activită</w:t>
      </w:r>
      <w:r>
        <w:rPr>
          <w:lang w:val="ro-RO"/>
        </w:rPr>
        <w:t>ţ</w:t>
      </w:r>
      <w:r w:rsidRPr="00F5644D">
        <w:rPr>
          <w:lang w:val="ro-RO"/>
        </w:rPr>
        <w:t>i infrac</w:t>
      </w:r>
      <w:r>
        <w:rPr>
          <w:lang w:val="ro-RO"/>
        </w:rPr>
        <w:t>ţ</w:t>
      </w:r>
      <w:r w:rsidRPr="00F5644D">
        <w:rPr>
          <w:lang w:val="ro-RO"/>
        </w:rPr>
        <w:t xml:space="preserve">ionale. </w:t>
      </w:r>
      <w:r>
        <w:rPr>
          <w:lang w:val="ro-RO"/>
        </w:rPr>
        <w:t>Obiectivul este</w:t>
      </w:r>
      <w:r w:rsidRPr="00F5644D">
        <w:rPr>
          <w:lang w:val="ro-RO"/>
        </w:rPr>
        <w:t xml:space="preserve"> asigurarea inviolabilită</w:t>
      </w:r>
      <w:r>
        <w:rPr>
          <w:lang w:val="ro-RO"/>
        </w:rPr>
        <w:t>ţ</w:t>
      </w:r>
      <w:r w:rsidRPr="00F5644D">
        <w:rPr>
          <w:lang w:val="ro-RO"/>
        </w:rPr>
        <w:t>ii materialelor care intră sub inciden</w:t>
      </w:r>
      <w:r>
        <w:rPr>
          <w:lang w:val="ro-RO"/>
        </w:rPr>
        <w:t>ţ</w:t>
      </w:r>
      <w:r w:rsidRPr="00F5644D">
        <w:rPr>
          <w:lang w:val="ro-RO"/>
        </w:rPr>
        <w:t>a confiden</w:t>
      </w:r>
      <w:r>
        <w:rPr>
          <w:lang w:val="ro-RO"/>
        </w:rPr>
        <w:t>ţ</w:t>
      </w:r>
      <w:r w:rsidRPr="00F5644D">
        <w:rPr>
          <w:lang w:val="ro-RO"/>
        </w:rPr>
        <w:t>ialită</w:t>
      </w:r>
      <w:r>
        <w:rPr>
          <w:lang w:val="ro-RO"/>
        </w:rPr>
        <w:t>ţ</w:t>
      </w:r>
      <w:r w:rsidRPr="00F5644D">
        <w:rPr>
          <w:lang w:val="ro-RO"/>
        </w:rPr>
        <w:t>ii rela</w:t>
      </w:r>
      <w:r>
        <w:rPr>
          <w:lang w:val="ro-RO"/>
        </w:rPr>
        <w:t>ţ</w:t>
      </w:r>
      <w:r w:rsidRPr="00F5644D">
        <w:rPr>
          <w:lang w:val="ro-RO"/>
        </w:rPr>
        <w:t>iei avocat-client. Prin urmare, mandatul de interceptare a comunicărilor cu un avocat nu ar trebui eliberat decât dacă există dovezi indiscutabile cu privire la faptul că materialul a cărui interceptare se vizează nu va fi protejat prin privilegiul profesiei juridice sau prin secretul profesional.</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rStyle w:val="Bodytext2Bold1"/>
          <w:rFonts w:eastAsia="Arial Unicode MS"/>
          <w:lang w:val="ro-RO"/>
        </w:rPr>
        <w:t xml:space="preserve">Supraveghere judiciară independentă: </w:t>
      </w:r>
      <w:r w:rsidRPr="00F5644D">
        <w:rPr>
          <w:lang w:val="ro-RO"/>
        </w:rPr>
        <w:t>în cazul comunicărilor cu avoca</w:t>
      </w:r>
      <w:r>
        <w:rPr>
          <w:lang w:val="ro-RO"/>
        </w:rPr>
        <w:t>ţ</w:t>
      </w:r>
      <w:r w:rsidRPr="00F5644D">
        <w:rPr>
          <w:lang w:val="ro-RO"/>
        </w:rPr>
        <w:t>ii, este esen</w:t>
      </w:r>
      <w:r>
        <w:rPr>
          <w:lang w:val="ro-RO"/>
        </w:rPr>
        <w:t>ţ</w:t>
      </w:r>
      <w:r w:rsidRPr="00F5644D">
        <w:rPr>
          <w:lang w:val="ro-RO"/>
        </w:rPr>
        <w:t>ial să se ob</w:t>
      </w:r>
      <w:r>
        <w:rPr>
          <w:lang w:val="ro-RO"/>
        </w:rPr>
        <w:t>ţ</w:t>
      </w:r>
      <w:r w:rsidRPr="00F5644D">
        <w:rPr>
          <w:lang w:val="ro-RO"/>
        </w:rPr>
        <w:t>ină autorizarea judiciară înainte de impunerea oricărei măsuri de interceptare. În plus, este necesară asigurarea supervizării în toate etapele măsurilor de supraveghere, supervizare efectuată de un organ judiciar independent, care are competen</w:t>
      </w:r>
      <w:r>
        <w:rPr>
          <w:lang w:val="ro-RO"/>
        </w:rPr>
        <w:t>ţ</w:t>
      </w:r>
      <w:r w:rsidRPr="00F5644D">
        <w:rPr>
          <w:lang w:val="ro-RO"/>
        </w:rPr>
        <w:t xml:space="preserve">a de a stopa interceptarea </w:t>
      </w:r>
      <w:r>
        <w:rPr>
          <w:lang w:val="ro-RO"/>
        </w:rPr>
        <w:t>ş</w:t>
      </w:r>
      <w:r w:rsidRPr="00F5644D">
        <w:rPr>
          <w:lang w:val="ro-RO"/>
        </w:rPr>
        <w:t>i/sau de a distruge materialele interceptate. În acest scop, organul de supraveghere trebuie să aibă, prin lege, competen</w:t>
      </w:r>
      <w:r>
        <w:rPr>
          <w:lang w:val="ro-RO"/>
        </w:rPr>
        <w:t>ţ</w:t>
      </w:r>
      <w:r w:rsidRPr="00F5644D">
        <w:rPr>
          <w:lang w:val="ro-RO"/>
        </w:rPr>
        <w:t>ele necesare pentru a lua decizii aplicabile în practică.</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rStyle w:val="Bodytext2Bold1"/>
          <w:rFonts w:eastAsia="Arial Unicode MS"/>
          <w:lang w:val="ro-RO"/>
        </w:rPr>
        <w:t xml:space="preserve">Valorificarea interceptărilor: </w:t>
      </w:r>
      <w:r w:rsidRPr="00F5644D">
        <w:rPr>
          <w:lang w:val="ro-RO"/>
        </w:rPr>
        <w:t xml:space="preserve">orice material interceptat şi obţinut în lipsa autorizării judiciare (prealabile) şi cu încălcarea </w:t>
      </w:r>
      <w:r>
        <w:rPr>
          <w:lang w:val="ro-RO"/>
        </w:rPr>
        <w:t>confidenţialităţii clientului</w:t>
      </w:r>
      <w:r w:rsidRPr="00F5644D">
        <w:rPr>
          <w:lang w:val="ro-RO"/>
        </w:rPr>
        <w:t xml:space="preserve"> trebuie considerat inadmisibil de către instanţă </w:t>
      </w:r>
      <w:r>
        <w:rPr>
          <w:lang w:val="ro-RO"/>
        </w:rPr>
        <w:t>ş</w:t>
      </w:r>
      <w:r w:rsidRPr="00F5644D">
        <w:rPr>
          <w:lang w:val="ro-RO"/>
        </w:rPr>
        <w:t>i se impune distrugerea acestuia. Orice material ob</w:t>
      </w:r>
      <w:r>
        <w:rPr>
          <w:lang w:val="ro-RO"/>
        </w:rPr>
        <w:t>ţ</w:t>
      </w:r>
      <w:r w:rsidRPr="00F5644D">
        <w:rPr>
          <w:lang w:val="ro-RO"/>
        </w:rPr>
        <w:t>inut în mod legal ar trebui să fie admisibil ca probă.</w:t>
      </w:r>
    </w:p>
    <w:p w:rsidR="006660B9" w:rsidRPr="00F5644D" w:rsidRDefault="006660B9" w:rsidP="003A16ED">
      <w:pPr>
        <w:pStyle w:val="Bodytext21"/>
        <w:numPr>
          <w:ilvl w:val="0"/>
          <w:numId w:val="1"/>
        </w:numPr>
        <w:shd w:val="clear" w:color="auto" w:fill="auto"/>
        <w:spacing w:before="240" w:line="276" w:lineRule="auto"/>
        <w:ind w:left="720" w:hanging="720"/>
        <w:jc w:val="both"/>
        <w:rPr>
          <w:lang w:val="ro-RO"/>
        </w:rPr>
      </w:pPr>
      <w:r w:rsidRPr="00F5644D">
        <w:rPr>
          <w:rStyle w:val="Bodytext2Bold1"/>
          <w:rFonts w:eastAsia="Arial Unicode MS"/>
          <w:lang w:val="ro-RO"/>
        </w:rPr>
        <w:t xml:space="preserve">Căi de atac </w:t>
      </w:r>
      <w:r>
        <w:rPr>
          <w:rStyle w:val="Bodytext2Bold1"/>
          <w:rFonts w:eastAsia="Arial Unicode MS"/>
          <w:lang w:val="ro-RO"/>
        </w:rPr>
        <w:t>ş</w:t>
      </w:r>
      <w:r w:rsidRPr="00F5644D">
        <w:rPr>
          <w:rStyle w:val="Bodytext2Bold1"/>
          <w:rFonts w:eastAsia="Arial Unicode MS"/>
          <w:lang w:val="ro-RO"/>
        </w:rPr>
        <w:t>i sanc</w:t>
      </w:r>
      <w:r>
        <w:rPr>
          <w:rStyle w:val="Bodytext2Bold1"/>
          <w:rFonts w:eastAsia="Arial Unicode MS"/>
          <w:lang w:val="ro-RO"/>
        </w:rPr>
        <w:t>ţ</w:t>
      </w:r>
      <w:r w:rsidRPr="00F5644D">
        <w:rPr>
          <w:rStyle w:val="Bodytext2Bold1"/>
          <w:rFonts w:eastAsia="Arial Unicode MS"/>
          <w:lang w:val="ro-RO"/>
        </w:rPr>
        <w:t xml:space="preserve">iuni: </w:t>
      </w:r>
      <w:r w:rsidRPr="00F5644D">
        <w:rPr>
          <w:lang w:val="ro-RO"/>
        </w:rPr>
        <w:t>este necesar ca avoca</w:t>
      </w:r>
      <w:r>
        <w:rPr>
          <w:lang w:val="ro-RO"/>
        </w:rPr>
        <w:t>ţ</w:t>
      </w:r>
      <w:r w:rsidRPr="00F5644D">
        <w:rPr>
          <w:lang w:val="ro-RO"/>
        </w:rPr>
        <w:t xml:space="preserve">ii </w:t>
      </w:r>
      <w:r>
        <w:rPr>
          <w:lang w:val="ro-RO"/>
        </w:rPr>
        <w:t>ş</w:t>
      </w:r>
      <w:r w:rsidRPr="00F5644D">
        <w:rPr>
          <w:lang w:val="ro-RO"/>
        </w:rPr>
        <w:t>i clien</w:t>
      </w:r>
      <w:r>
        <w:rPr>
          <w:lang w:val="ro-RO"/>
        </w:rPr>
        <w:t>ţ</w:t>
      </w:r>
      <w:r w:rsidRPr="00F5644D">
        <w:rPr>
          <w:lang w:val="ro-RO"/>
        </w:rPr>
        <w:t>ii acestora care au făcut obiectul supravegherii ilegale să aibă la dispozi</w:t>
      </w:r>
      <w:r>
        <w:rPr>
          <w:lang w:val="ro-RO"/>
        </w:rPr>
        <w:t>ţ</w:t>
      </w:r>
      <w:r w:rsidRPr="00F5644D">
        <w:rPr>
          <w:lang w:val="ro-RO"/>
        </w:rPr>
        <w:t xml:space="preserve">ie căi de atac </w:t>
      </w:r>
      <w:r>
        <w:rPr>
          <w:lang w:val="ro-RO"/>
        </w:rPr>
        <w:t>ş</w:t>
      </w:r>
      <w:r w:rsidRPr="00F5644D">
        <w:rPr>
          <w:lang w:val="ro-RO"/>
        </w:rPr>
        <w:t>i să se introducă un sistem de sanc</w:t>
      </w:r>
      <w:r>
        <w:rPr>
          <w:lang w:val="ro-RO"/>
        </w:rPr>
        <w:t>ţ</w:t>
      </w:r>
      <w:r w:rsidRPr="00F5644D">
        <w:rPr>
          <w:lang w:val="ro-RO"/>
        </w:rPr>
        <w:t>iuni. Avoca</w:t>
      </w:r>
      <w:r>
        <w:rPr>
          <w:lang w:val="ro-RO"/>
        </w:rPr>
        <w:t>ţ</w:t>
      </w:r>
      <w:r w:rsidRPr="00F5644D">
        <w:rPr>
          <w:lang w:val="ro-RO"/>
        </w:rPr>
        <w:t xml:space="preserve">ii </w:t>
      </w:r>
      <w:r>
        <w:rPr>
          <w:lang w:val="ro-RO"/>
        </w:rPr>
        <w:t>ş</w:t>
      </w:r>
      <w:r w:rsidRPr="00F5644D">
        <w:rPr>
          <w:lang w:val="ro-RO"/>
        </w:rPr>
        <w:t>i clien</w:t>
      </w:r>
      <w:r>
        <w:rPr>
          <w:lang w:val="ro-RO"/>
        </w:rPr>
        <w:t>ţ</w:t>
      </w:r>
      <w:r w:rsidRPr="00F5644D">
        <w:rPr>
          <w:lang w:val="ro-RO"/>
        </w:rPr>
        <w:t>ii acestora au dreptul de a fi informa</w:t>
      </w:r>
      <w:r>
        <w:rPr>
          <w:lang w:val="ro-RO"/>
        </w:rPr>
        <w:t>ţ</w:t>
      </w:r>
      <w:r w:rsidRPr="00F5644D">
        <w:rPr>
          <w:lang w:val="ro-RO"/>
        </w:rPr>
        <w:t>i în legătură cu datele colectate ca rezultat al supravegherii directe sau indirecte, odată ce a fost divulgat faptul că au fost instituite măsuri de supraveghere.</w:t>
      </w:r>
    </w:p>
    <w:p w:rsidR="006660B9" w:rsidRPr="00F5644D" w:rsidRDefault="006660B9" w:rsidP="003A16ED">
      <w:pPr>
        <w:pStyle w:val="Bodytext21"/>
        <w:shd w:val="clear" w:color="auto" w:fill="auto"/>
        <w:spacing w:line="276" w:lineRule="auto"/>
        <w:ind w:firstLine="0"/>
        <w:rPr>
          <w:lang w:val="ro-RO"/>
        </w:rPr>
      </w:pPr>
    </w:p>
    <w:p w:rsidR="006660B9" w:rsidRPr="00F5644D" w:rsidRDefault="006660B9" w:rsidP="003A16ED">
      <w:pPr>
        <w:pStyle w:val="Bodytext21"/>
        <w:shd w:val="clear" w:color="auto" w:fill="auto"/>
        <w:spacing w:line="276" w:lineRule="auto"/>
        <w:ind w:firstLine="0"/>
        <w:rPr>
          <w:lang w:val="ro-RO"/>
        </w:rPr>
      </w:pPr>
    </w:p>
    <w:p w:rsidR="006660B9" w:rsidRPr="00F5644D" w:rsidRDefault="006660B9" w:rsidP="003A16ED">
      <w:pPr>
        <w:spacing w:line="276" w:lineRule="auto"/>
        <w:rPr>
          <w:rFonts w:ascii="Arial" w:eastAsia="Times New Roman" w:hAnsi="Arial" w:cs="Arial"/>
          <w:sz w:val="20"/>
          <w:szCs w:val="20"/>
          <w:lang w:val="ro-RO"/>
        </w:rPr>
      </w:pPr>
      <w:r w:rsidRPr="00F5644D">
        <w:rPr>
          <w:lang w:val="ro-RO"/>
        </w:rPr>
        <w:br w:type="page"/>
      </w:r>
    </w:p>
    <w:p w:rsidR="006660B9" w:rsidRPr="00F5644D" w:rsidRDefault="006660B9" w:rsidP="003A16ED">
      <w:pPr>
        <w:pStyle w:val="Bodytext21"/>
        <w:spacing w:line="276" w:lineRule="auto"/>
        <w:ind w:left="560"/>
        <w:jc w:val="center"/>
        <w:rPr>
          <w:b/>
          <w:bCs/>
          <w:lang w:val="ro-RO"/>
        </w:rPr>
      </w:pPr>
      <w:r>
        <w:rPr>
          <w:b/>
          <w:bCs/>
          <w:lang w:val="ro-RO"/>
        </w:rPr>
        <w:t>CUPRINS</w:t>
      </w:r>
    </w:p>
    <w:p w:rsidR="006660B9" w:rsidRPr="00F5644D" w:rsidRDefault="006660B9" w:rsidP="003A16ED">
      <w:pPr>
        <w:pStyle w:val="TOC1"/>
        <w:shd w:val="clear" w:color="auto" w:fill="auto"/>
        <w:spacing w:line="276" w:lineRule="auto"/>
        <w:jc w:val="left"/>
        <w:rPr>
          <w:lang w:val="ro-RO"/>
        </w:rPr>
      </w:pPr>
    </w:p>
    <w:p w:rsidR="006660B9" w:rsidRPr="00F5644D" w:rsidRDefault="006660B9" w:rsidP="003A16ED">
      <w:pPr>
        <w:pStyle w:val="Bodytext21"/>
        <w:shd w:val="clear" w:color="auto" w:fill="auto"/>
        <w:tabs>
          <w:tab w:val="left" w:pos="1298"/>
        </w:tabs>
        <w:spacing w:line="276" w:lineRule="auto"/>
        <w:ind w:firstLine="0"/>
        <w:rPr>
          <w:lang w:val="ro-RO"/>
        </w:rPr>
      </w:pPr>
    </w:p>
    <w:bookmarkStart w:id="5" w:name="_GoBack"/>
    <w:bookmarkEnd w:id="5"/>
    <w:p w:rsidR="004B250B" w:rsidRDefault="006660B9">
      <w:pPr>
        <w:pStyle w:val="TOC1"/>
        <w:tabs>
          <w:tab w:val="right" w:leader="dot" w:pos="9019"/>
        </w:tabs>
        <w:rPr>
          <w:rFonts w:asciiTheme="minorHAnsi" w:eastAsiaTheme="minorEastAsia" w:hAnsiTheme="minorHAnsi" w:cstheme="minorBidi"/>
          <w:noProof/>
          <w:color w:val="auto"/>
          <w:sz w:val="22"/>
          <w:szCs w:val="22"/>
        </w:rPr>
      </w:pPr>
      <w:r w:rsidRPr="00F5644D">
        <w:rPr>
          <w:lang w:val="ro-RO"/>
        </w:rPr>
        <w:fldChar w:fldCharType="begin"/>
      </w:r>
      <w:r w:rsidRPr="00F5644D">
        <w:rPr>
          <w:lang w:val="ro-RO"/>
        </w:rPr>
        <w:instrText xml:space="preserve"> TOC \o "1-5" \h \z </w:instrText>
      </w:r>
      <w:r w:rsidRPr="00F5644D">
        <w:rPr>
          <w:lang w:val="ro-RO"/>
        </w:rPr>
        <w:fldChar w:fldCharType="separate"/>
      </w:r>
      <w:hyperlink w:anchor="_Toc452658675" w:history="1">
        <w:r w:rsidR="004B250B" w:rsidRPr="002D3C08">
          <w:rPr>
            <w:rStyle w:val="Hyperlink"/>
            <w:noProof/>
            <w:lang w:val="ro-RO"/>
          </w:rPr>
          <w:t>SUMAR EXECUTIV</w:t>
        </w:r>
        <w:r w:rsidR="004B250B">
          <w:rPr>
            <w:noProof/>
            <w:webHidden/>
          </w:rPr>
          <w:tab/>
        </w:r>
        <w:r w:rsidR="004B250B">
          <w:rPr>
            <w:noProof/>
            <w:webHidden/>
          </w:rPr>
          <w:fldChar w:fldCharType="begin"/>
        </w:r>
        <w:r w:rsidR="004B250B">
          <w:rPr>
            <w:noProof/>
            <w:webHidden/>
          </w:rPr>
          <w:instrText xml:space="preserve"> PAGEREF _Toc452658675 \h </w:instrText>
        </w:r>
        <w:r w:rsidR="004B250B">
          <w:rPr>
            <w:noProof/>
            <w:webHidden/>
          </w:rPr>
        </w:r>
        <w:r w:rsidR="004B250B">
          <w:rPr>
            <w:noProof/>
            <w:webHidden/>
          </w:rPr>
          <w:fldChar w:fldCharType="separate"/>
        </w:r>
        <w:r w:rsidR="004B250B">
          <w:rPr>
            <w:noProof/>
            <w:webHidden/>
          </w:rPr>
          <w:t>1</w:t>
        </w:r>
        <w:r w:rsidR="004B250B">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76" w:history="1">
        <w:r w:rsidRPr="002D3C08">
          <w:rPr>
            <w:rStyle w:val="Hyperlink"/>
            <w:noProof/>
            <w:lang w:val="ro-RO"/>
          </w:rPr>
          <w:t>INTRODUCERE</w:t>
        </w:r>
        <w:r>
          <w:rPr>
            <w:noProof/>
            <w:webHidden/>
          </w:rPr>
          <w:tab/>
        </w:r>
        <w:r>
          <w:rPr>
            <w:noProof/>
            <w:webHidden/>
          </w:rPr>
          <w:fldChar w:fldCharType="begin"/>
        </w:r>
        <w:r>
          <w:rPr>
            <w:noProof/>
            <w:webHidden/>
          </w:rPr>
          <w:instrText xml:space="preserve"> PAGEREF _Toc452658676 \h </w:instrText>
        </w:r>
        <w:r>
          <w:rPr>
            <w:noProof/>
            <w:webHidden/>
          </w:rPr>
        </w:r>
        <w:r>
          <w:rPr>
            <w:noProof/>
            <w:webHidden/>
          </w:rPr>
          <w:fldChar w:fldCharType="separate"/>
        </w:r>
        <w:r>
          <w:rPr>
            <w:noProof/>
            <w:webHidden/>
          </w:rPr>
          <w:t>4</w:t>
        </w:r>
        <w:r>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77" w:history="1">
        <w:r w:rsidRPr="002D3C08">
          <w:rPr>
            <w:rStyle w:val="Hyperlink"/>
            <w:noProof/>
            <w:lang w:val="ro-RO"/>
          </w:rPr>
          <w:t>PARTEA I: SECRETUL PROFESIONAL ŞI PRIVILEGIUL PROFESIEI JURIDICE – SENS ŞI DOMENIU DE APLICARE</w:t>
        </w:r>
        <w:r>
          <w:rPr>
            <w:noProof/>
            <w:webHidden/>
          </w:rPr>
          <w:tab/>
        </w:r>
        <w:r>
          <w:rPr>
            <w:noProof/>
            <w:webHidden/>
          </w:rPr>
          <w:fldChar w:fldCharType="begin"/>
        </w:r>
        <w:r>
          <w:rPr>
            <w:noProof/>
            <w:webHidden/>
          </w:rPr>
          <w:instrText xml:space="preserve"> PAGEREF _Toc452658677 \h </w:instrText>
        </w:r>
        <w:r>
          <w:rPr>
            <w:noProof/>
            <w:webHidden/>
          </w:rPr>
        </w:r>
        <w:r>
          <w:rPr>
            <w:noProof/>
            <w:webHidden/>
          </w:rPr>
          <w:fldChar w:fldCharType="separate"/>
        </w:r>
        <w:r>
          <w:rPr>
            <w:noProof/>
            <w:webHidden/>
          </w:rPr>
          <w:t>6</w:t>
        </w:r>
        <w:r>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78" w:history="1">
        <w:r w:rsidRPr="002D3C08">
          <w:rPr>
            <w:rStyle w:val="Hyperlink"/>
            <w:noProof/>
            <w:lang w:val="ro-RO"/>
          </w:rPr>
          <w:t>PARTEA II: RECOMANDĂRI CCBE</w:t>
        </w:r>
        <w:r>
          <w:rPr>
            <w:noProof/>
            <w:webHidden/>
          </w:rPr>
          <w:tab/>
        </w:r>
        <w:r>
          <w:rPr>
            <w:noProof/>
            <w:webHidden/>
          </w:rPr>
          <w:fldChar w:fldCharType="begin"/>
        </w:r>
        <w:r>
          <w:rPr>
            <w:noProof/>
            <w:webHidden/>
          </w:rPr>
          <w:instrText xml:space="preserve"> PAGEREF _Toc452658678 \h </w:instrText>
        </w:r>
        <w:r>
          <w:rPr>
            <w:noProof/>
            <w:webHidden/>
          </w:rPr>
        </w:r>
        <w:r>
          <w:rPr>
            <w:noProof/>
            <w:webHidden/>
          </w:rPr>
          <w:fldChar w:fldCharType="separate"/>
        </w:r>
        <w:r>
          <w:rPr>
            <w:noProof/>
            <w:webHidden/>
          </w:rPr>
          <w:t>15</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79" w:history="1">
        <w:r w:rsidRPr="002D3C08">
          <w:rPr>
            <w:rStyle w:val="Hyperlink"/>
            <w:rFonts w:eastAsia="Times New Roman"/>
            <w:noProof/>
            <w:lang w:val="ro-RO"/>
          </w:rPr>
          <w:t>1.</w:t>
        </w:r>
        <w:r>
          <w:rPr>
            <w:rFonts w:asciiTheme="minorHAnsi" w:eastAsiaTheme="minorEastAsia" w:hAnsiTheme="minorHAnsi" w:cstheme="minorBidi"/>
            <w:noProof/>
            <w:color w:val="auto"/>
            <w:sz w:val="22"/>
            <w:szCs w:val="22"/>
          </w:rPr>
          <w:tab/>
        </w:r>
        <w:r w:rsidRPr="002D3C08">
          <w:rPr>
            <w:rStyle w:val="Hyperlink"/>
            <w:noProof/>
            <w:lang w:val="ro-RO"/>
          </w:rPr>
          <w:t>Principiul general</w:t>
        </w:r>
        <w:r>
          <w:rPr>
            <w:noProof/>
            <w:webHidden/>
          </w:rPr>
          <w:tab/>
        </w:r>
        <w:r>
          <w:rPr>
            <w:noProof/>
            <w:webHidden/>
          </w:rPr>
          <w:fldChar w:fldCharType="begin"/>
        </w:r>
        <w:r>
          <w:rPr>
            <w:noProof/>
            <w:webHidden/>
          </w:rPr>
          <w:instrText xml:space="preserve"> PAGEREF _Toc452658679 \h </w:instrText>
        </w:r>
        <w:r>
          <w:rPr>
            <w:noProof/>
            <w:webHidden/>
          </w:rPr>
        </w:r>
        <w:r>
          <w:rPr>
            <w:noProof/>
            <w:webHidden/>
          </w:rPr>
          <w:fldChar w:fldCharType="separate"/>
        </w:r>
        <w:r>
          <w:rPr>
            <w:noProof/>
            <w:webHidden/>
          </w:rPr>
          <w:t>15</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80" w:history="1">
        <w:r w:rsidRPr="002D3C08">
          <w:rPr>
            <w:rStyle w:val="Hyperlink"/>
            <w:rFonts w:eastAsia="Times New Roman"/>
            <w:noProof/>
            <w:lang w:val="ro-RO"/>
          </w:rPr>
          <w:t>2.</w:t>
        </w:r>
        <w:r>
          <w:rPr>
            <w:rFonts w:asciiTheme="minorHAnsi" w:eastAsiaTheme="minorEastAsia" w:hAnsiTheme="minorHAnsi" w:cstheme="minorBidi"/>
            <w:noProof/>
            <w:color w:val="auto"/>
            <w:sz w:val="22"/>
            <w:szCs w:val="22"/>
          </w:rPr>
          <w:tab/>
        </w:r>
        <w:r w:rsidRPr="002D3C08">
          <w:rPr>
            <w:rStyle w:val="Hyperlink"/>
            <w:noProof/>
            <w:lang w:val="ro-RO"/>
          </w:rPr>
          <w:t>Nevoia de control legislativ</w:t>
        </w:r>
        <w:r>
          <w:rPr>
            <w:noProof/>
            <w:webHidden/>
          </w:rPr>
          <w:tab/>
        </w:r>
        <w:r>
          <w:rPr>
            <w:noProof/>
            <w:webHidden/>
          </w:rPr>
          <w:fldChar w:fldCharType="begin"/>
        </w:r>
        <w:r>
          <w:rPr>
            <w:noProof/>
            <w:webHidden/>
          </w:rPr>
          <w:instrText xml:space="preserve"> PAGEREF _Toc452658680 \h </w:instrText>
        </w:r>
        <w:r>
          <w:rPr>
            <w:noProof/>
            <w:webHidden/>
          </w:rPr>
        </w:r>
        <w:r>
          <w:rPr>
            <w:noProof/>
            <w:webHidden/>
          </w:rPr>
          <w:fldChar w:fldCharType="separate"/>
        </w:r>
        <w:r>
          <w:rPr>
            <w:noProof/>
            <w:webHidden/>
          </w:rPr>
          <w:t>15</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1" w:history="1">
        <w:r w:rsidRPr="002D3C08">
          <w:rPr>
            <w:rStyle w:val="Hyperlink"/>
            <w:rFonts w:eastAsia="Times New Roman"/>
            <w:noProof/>
            <w:lang w:val="ro-RO"/>
          </w:rPr>
          <w:t>2.1</w:t>
        </w:r>
        <w:r>
          <w:rPr>
            <w:rFonts w:asciiTheme="minorHAnsi" w:eastAsiaTheme="minorEastAsia" w:hAnsiTheme="minorHAnsi" w:cstheme="minorBidi"/>
            <w:noProof/>
            <w:color w:val="auto"/>
            <w:sz w:val="22"/>
            <w:szCs w:val="22"/>
          </w:rPr>
          <w:tab/>
        </w:r>
        <w:r w:rsidRPr="002D3C08">
          <w:rPr>
            <w:rStyle w:val="Hyperlink"/>
            <w:noProof/>
            <w:lang w:val="ro-RO"/>
          </w:rPr>
          <w:t>Toate activităţile de supraveghere trebuie reglementate cu un grad adecvat de detaliere (de exemplu, “securitatea naţională” trebuie definită în mod clar) şi de transparenţă.</w:t>
        </w:r>
        <w:r>
          <w:rPr>
            <w:noProof/>
            <w:webHidden/>
          </w:rPr>
          <w:tab/>
        </w:r>
        <w:r>
          <w:rPr>
            <w:noProof/>
            <w:webHidden/>
          </w:rPr>
          <w:fldChar w:fldCharType="begin"/>
        </w:r>
        <w:r>
          <w:rPr>
            <w:noProof/>
            <w:webHidden/>
          </w:rPr>
          <w:instrText xml:space="preserve"> PAGEREF _Toc452658681 \h </w:instrText>
        </w:r>
        <w:r>
          <w:rPr>
            <w:noProof/>
            <w:webHidden/>
          </w:rPr>
        </w:r>
        <w:r>
          <w:rPr>
            <w:noProof/>
            <w:webHidden/>
          </w:rPr>
          <w:fldChar w:fldCharType="separate"/>
        </w:r>
        <w:r>
          <w:rPr>
            <w:noProof/>
            <w:webHidden/>
          </w:rPr>
          <w:t>15</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82" w:history="1">
        <w:r w:rsidRPr="002D3C08">
          <w:rPr>
            <w:rStyle w:val="Hyperlink"/>
            <w:rFonts w:eastAsia="Times New Roman"/>
            <w:noProof/>
            <w:lang w:val="ro-RO"/>
          </w:rPr>
          <w:t>3.</w:t>
        </w:r>
        <w:r>
          <w:rPr>
            <w:rFonts w:asciiTheme="minorHAnsi" w:eastAsiaTheme="minorEastAsia" w:hAnsiTheme="minorHAnsi" w:cstheme="minorBidi"/>
            <w:noProof/>
            <w:color w:val="auto"/>
            <w:sz w:val="22"/>
            <w:szCs w:val="22"/>
          </w:rPr>
          <w:tab/>
        </w:r>
        <w:r w:rsidRPr="002D3C08">
          <w:rPr>
            <w:rStyle w:val="Hyperlink"/>
            <w:noProof/>
            <w:lang w:val="ro-RO"/>
          </w:rPr>
          <w:t>Amploarea admisă a interceptărilor</w:t>
        </w:r>
        <w:r>
          <w:rPr>
            <w:noProof/>
            <w:webHidden/>
          </w:rPr>
          <w:tab/>
        </w:r>
        <w:r>
          <w:rPr>
            <w:noProof/>
            <w:webHidden/>
          </w:rPr>
          <w:fldChar w:fldCharType="begin"/>
        </w:r>
        <w:r>
          <w:rPr>
            <w:noProof/>
            <w:webHidden/>
          </w:rPr>
          <w:instrText xml:space="preserve"> PAGEREF _Toc452658682 \h </w:instrText>
        </w:r>
        <w:r>
          <w:rPr>
            <w:noProof/>
            <w:webHidden/>
          </w:rPr>
        </w:r>
        <w:r>
          <w:rPr>
            <w:noProof/>
            <w:webHidden/>
          </w:rPr>
          <w:fldChar w:fldCharType="separate"/>
        </w:r>
        <w:r>
          <w:rPr>
            <w:noProof/>
            <w:webHidden/>
          </w:rPr>
          <w:t>16</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3" w:history="1">
        <w:r w:rsidRPr="002D3C08">
          <w:rPr>
            <w:rStyle w:val="Hyperlink"/>
            <w:rFonts w:eastAsia="Times New Roman"/>
            <w:noProof/>
            <w:lang w:val="ro-RO"/>
          </w:rPr>
          <w:t>3.1</w:t>
        </w:r>
        <w:r>
          <w:rPr>
            <w:rFonts w:asciiTheme="minorHAnsi" w:eastAsiaTheme="minorEastAsia" w:hAnsiTheme="minorHAnsi" w:cstheme="minorBidi"/>
            <w:noProof/>
            <w:color w:val="auto"/>
            <w:sz w:val="22"/>
            <w:szCs w:val="22"/>
          </w:rPr>
          <w:tab/>
        </w:r>
        <w:r w:rsidRPr="002D3C08">
          <w:rPr>
            <w:rStyle w:val="Hyperlink"/>
            <w:noProof/>
            <w:lang w:val="ro-RO"/>
          </w:rPr>
          <w:t>Numai comunicările care nu se încadrează în categoria secretului profesional sau a privilegiului profesiei juridice pot fi interceptate.</w:t>
        </w:r>
        <w:r>
          <w:rPr>
            <w:noProof/>
            <w:webHidden/>
          </w:rPr>
          <w:tab/>
        </w:r>
        <w:r>
          <w:rPr>
            <w:noProof/>
            <w:webHidden/>
          </w:rPr>
          <w:fldChar w:fldCharType="begin"/>
        </w:r>
        <w:r>
          <w:rPr>
            <w:noProof/>
            <w:webHidden/>
          </w:rPr>
          <w:instrText xml:space="preserve"> PAGEREF _Toc452658683 \h </w:instrText>
        </w:r>
        <w:r>
          <w:rPr>
            <w:noProof/>
            <w:webHidden/>
          </w:rPr>
        </w:r>
        <w:r>
          <w:rPr>
            <w:noProof/>
            <w:webHidden/>
          </w:rPr>
          <w:fldChar w:fldCharType="separate"/>
        </w:r>
        <w:r>
          <w:rPr>
            <w:noProof/>
            <w:webHidden/>
          </w:rPr>
          <w:t>16</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84" w:history="1">
        <w:r w:rsidRPr="002D3C08">
          <w:rPr>
            <w:rStyle w:val="Hyperlink"/>
            <w:rFonts w:eastAsia="Times New Roman"/>
            <w:noProof/>
            <w:lang w:val="ro-RO"/>
          </w:rPr>
          <w:t>4.</w:t>
        </w:r>
        <w:r>
          <w:rPr>
            <w:rFonts w:asciiTheme="minorHAnsi" w:eastAsiaTheme="minorEastAsia" w:hAnsiTheme="minorHAnsi" w:cstheme="minorBidi"/>
            <w:noProof/>
            <w:color w:val="auto"/>
            <w:sz w:val="22"/>
            <w:szCs w:val="22"/>
          </w:rPr>
          <w:tab/>
        </w:r>
        <w:r w:rsidRPr="002D3C08">
          <w:rPr>
            <w:rStyle w:val="Hyperlink"/>
            <w:noProof/>
            <w:lang w:val="ro-RO"/>
          </w:rPr>
          <w:t>Supraveghere judiciară şi independentă</w:t>
        </w:r>
        <w:r>
          <w:rPr>
            <w:noProof/>
            <w:webHidden/>
          </w:rPr>
          <w:tab/>
        </w:r>
        <w:r>
          <w:rPr>
            <w:noProof/>
            <w:webHidden/>
          </w:rPr>
          <w:fldChar w:fldCharType="begin"/>
        </w:r>
        <w:r>
          <w:rPr>
            <w:noProof/>
            <w:webHidden/>
          </w:rPr>
          <w:instrText xml:space="preserve"> PAGEREF _Toc452658684 \h </w:instrText>
        </w:r>
        <w:r>
          <w:rPr>
            <w:noProof/>
            <w:webHidden/>
          </w:rPr>
        </w:r>
        <w:r>
          <w:rPr>
            <w:noProof/>
            <w:webHidden/>
          </w:rPr>
          <w:fldChar w:fldCharType="separate"/>
        </w:r>
        <w:r>
          <w:rPr>
            <w:noProof/>
            <w:webHidden/>
          </w:rPr>
          <w:t>17</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5" w:history="1">
        <w:r w:rsidRPr="002D3C08">
          <w:rPr>
            <w:rStyle w:val="Hyperlink"/>
            <w:rFonts w:eastAsia="Times New Roman"/>
            <w:noProof/>
            <w:lang w:val="ro-RO"/>
          </w:rPr>
          <w:t>4.2</w:t>
        </w:r>
        <w:r>
          <w:rPr>
            <w:rFonts w:asciiTheme="minorHAnsi" w:eastAsiaTheme="minorEastAsia" w:hAnsiTheme="minorHAnsi" w:cstheme="minorBidi"/>
            <w:noProof/>
            <w:color w:val="auto"/>
            <w:sz w:val="22"/>
            <w:szCs w:val="22"/>
          </w:rPr>
          <w:tab/>
        </w:r>
        <w:r w:rsidRPr="002D3C08">
          <w:rPr>
            <w:rStyle w:val="Hyperlink"/>
            <w:noProof/>
            <w:lang w:val="ro-RO"/>
          </w:rPr>
          <w:t>Controlul de supervizare trebuie încredinţat unui organ judiciar.</w:t>
        </w:r>
        <w:r>
          <w:rPr>
            <w:noProof/>
            <w:webHidden/>
          </w:rPr>
          <w:tab/>
        </w:r>
        <w:r>
          <w:rPr>
            <w:noProof/>
            <w:webHidden/>
          </w:rPr>
          <w:fldChar w:fldCharType="begin"/>
        </w:r>
        <w:r>
          <w:rPr>
            <w:noProof/>
            <w:webHidden/>
          </w:rPr>
          <w:instrText xml:space="preserve"> PAGEREF _Toc452658685 \h </w:instrText>
        </w:r>
        <w:r>
          <w:rPr>
            <w:noProof/>
            <w:webHidden/>
          </w:rPr>
        </w:r>
        <w:r>
          <w:rPr>
            <w:noProof/>
            <w:webHidden/>
          </w:rPr>
          <w:fldChar w:fldCharType="separate"/>
        </w:r>
        <w:r>
          <w:rPr>
            <w:noProof/>
            <w:webHidden/>
          </w:rPr>
          <w:t>18</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6" w:history="1">
        <w:r w:rsidRPr="002D3C08">
          <w:rPr>
            <w:rStyle w:val="Hyperlink"/>
            <w:rFonts w:eastAsia="Times New Roman"/>
            <w:noProof/>
            <w:lang w:val="ro-RO"/>
          </w:rPr>
          <w:t>4.4</w:t>
        </w:r>
        <w:r>
          <w:rPr>
            <w:rFonts w:asciiTheme="minorHAnsi" w:eastAsiaTheme="minorEastAsia" w:hAnsiTheme="minorHAnsi" w:cstheme="minorBidi"/>
            <w:noProof/>
            <w:color w:val="auto"/>
            <w:sz w:val="22"/>
            <w:szCs w:val="22"/>
          </w:rPr>
          <w:tab/>
        </w:r>
        <w:r w:rsidRPr="002D3C08">
          <w:rPr>
            <w:rStyle w:val="Hyperlink"/>
            <w:noProof/>
            <w:lang w:val="ro-RO"/>
          </w:rPr>
          <w:t>Este necesară o autorizare preliminară externă şi, dacă este necesar, şi condiţionată a impunerii măsurii de interceptare.</w:t>
        </w:r>
        <w:r>
          <w:rPr>
            <w:noProof/>
            <w:webHidden/>
          </w:rPr>
          <w:tab/>
        </w:r>
        <w:r>
          <w:rPr>
            <w:noProof/>
            <w:webHidden/>
          </w:rPr>
          <w:fldChar w:fldCharType="begin"/>
        </w:r>
        <w:r>
          <w:rPr>
            <w:noProof/>
            <w:webHidden/>
          </w:rPr>
          <w:instrText xml:space="preserve"> PAGEREF _Toc452658686 \h </w:instrText>
        </w:r>
        <w:r>
          <w:rPr>
            <w:noProof/>
            <w:webHidden/>
          </w:rPr>
        </w:r>
        <w:r>
          <w:rPr>
            <w:noProof/>
            <w:webHidden/>
          </w:rPr>
          <w:fldChar w:fldCharType="separate"/>
        </w:r>
        <w:r>
          <w:rPr>
            <w:noProof/>
            <w:webHidden/>
          </w:rPr>
          <w:t>19</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7" w:history="1">
        <w:r w:rsidRPr="002D3C08">
          <w:rPr>
            <w:rStyle w:val="Hyperlink"/>
            <w:rFonts w:eastAsia="Times New Roman"/>
            <w:noProof/>
            <w:lang w:val="ro-RO"/>
          </w:rPr>
          <w:t>4.6</w:t>
        </w:r>
        <w:r>
          <w:rPr>
            <w:rFonts w:asciiTheme="minorHAnsi" w:eastAsiaTheme="minorEastAsia" w:hAnsiTheme="minorHAnsi" w:cstheme="minorBidi"/>
            <w:noProof/>
            <w:color w:val="auto"/>
            <w:sz w:val="22"/>
            <w:szCs w:val="22"/>
          </w:rPr>
          <w:tab/>
        </w:r>
        <w:r w:rsidRPr="002D3C08">
          <w:rPr>
            <w:rStyle w:val="Hyperlink"/>
            <w:noProof/>
            <w:lang w:val="ro-RO"/>
          </w:rPr>
          <w:t>Organul sau organele de supraveghere trebuie să primească sarcina asigurării că măsurile de supraveghere nu încalcă privilegiul profesiei juridice sau secretul profesional.</w:t>
        </w:r>
        <w:r>
          <w:rPr>
            <w:noProof/>
            <w:webHidden/>
          </w:rPr>
          <w:tab/>
        </w:r>
        <w:r>
          <w:rPr>
            <w:noProof/>
            <w:webHidden/>
          </w:rPr>
          <w:fldChar w:fldCharType="begin"/>
        </w:r>
        <w:r>
          <w:rPr>
            <w:noProof/>
            <w:webHidden/>
          </w:rPr>
          <w:instrText xml:space="preserve"> PAGEREF _Toc452658687 \h </w:instrText>
        </w:r>
        <w:r>
          <w:rPr>
            <w:noProof/>
            <w:webHidden/>
          </w:rPr>
        </w:r>
        <w:r>
          <w:rPr>
            <w:noProof/>
            <w:webHidden/>
          </w:rPr>
          <w:fldChar w:fldCharType="separate"/>
        </w:r>
        <w:r>
          <w:rPr>
            <w:noProof/>
            <w:webHidden/>
          </w:rPr>
          <w:t>20</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88" w:history="1">
        <w:r w:rsidRPr="002D3C08">
          <w:rPr>
            <w:rStyle w:val="Hyperlink"/>
            <w:rFonts w:eastAsia="Times New Roman"/>
            <w:noProof/>
            <w:lang w:val="ro-RO"/>
          </w:rPr>
          <w:t>5.</w:t>
        </w:r>
        <w:r>
          <w:rPr>
            <w:rFonts w:asciiTheme="minorHAnsi" w:eastAsiaTheme="minorEastAsia" w:hAnsiTheme="minorHAnsi" w:cstheme="minorBidi"/>
            <w:noProof/>
            <w:color w:val="auto"/>
            <w:sz w:val="22"/>
            <w:szCs w:val="22"/>
          </w:rPr>
          <w:tab/>
        </w:r>
        <w:r w:rsidRPr="002D3C08">
          <w:rPr>
            <w:rStyle w:val="Hyperlink"/>
            <w:noProof/>
            <w:lang w:val="ro-RO"/>
          </w:rPr>
          <w:t>Valorificarea interceptărilor</w:t>
        </w:r>
        <w:r>
          <w:rPr>
            <w:noProof/>
            <w:webHidden/>
          </w:rPr>
          <w:tab/>
        </w:r>
        <w:r>
          <w:rPr>
            <w:noProof/>
            <w:webHidden/>
          </w:rPr>
          <w:fldChar w:fldCharType="begin"/>
        </w:r>
        <w:r>
          <w:rPr>
            <w:noProof/>
            <w:webHidden/>
          </w:rPr>
          <w:instrText xml:space="preserve"> PAGEREF _Toc452658688 \h </w:instrText>
        </w:r>
        <w:r>
          <w:rPr>
            <w:noProof/>
            <w:webHidden/>
          </w:rPr>
        </w:r>
        <w:r>
          <w:rPr>
            <w:noProof/>
            <w:webHidden/>
          </w:rPr>
          <w:fldChar w:fldCharType="separate"/>
        </w:r>
        <w:r>
          <w:rPr>
            <w:noProof/>
            <w:webHidden/>
          </w:rPr>
          <w:t>21</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89" w:history="1">
        <w:r w:rsidRPr="002D3C08">
          <w:rPr>
            <w:rStyle w:val="Hyperlink"/>
            <w:rFonts w:eastAsia="Times New Roman"/>
            <w:noProof/>
            <w:lang w:val="ro-RO"/>
          </w:rPr>
          <w:t>5.2</w:t>
        </w:r>
        <w:r>
          <w:rPr>
            <w:rFonts w:asciiTheme="minorHAnsi" w:eastAsiaTheme="minorEastAsia" w:hAnsiTheme="minorHAnsi" w:cstheme="minorBidi"/>
            <w:noProof/>
            <w:color w:val="auto"/>
            <w:sz w:val="22"/>
            <w:szCs w:val="22"/>
          </w:rPr>
          <w:tab/>
        </w:r>
        <w:r w:rsidRPr="002D3C08">
          <w:rPr>
            <w:rStyle w:val="Hyperlink"/>
            <w:noProof/>
            <w:lang w:val="ro-RO"/>
          </w:rPr>
          <w:t>Orice material interceptat în mod legal ar trebui să fie utilizat doar pentru scopul pentru care s-a acordat autorizaţia de către organul de supraveghere.</w:t>
        </w:r>
        <w:r>
          <w:rPr>
            <w:noProof/>
            <w:webHidden/>
          </w:rPr>
          <w:tab/>
        </w:r>
        <w:r>
          <w:rPr>
            <w:noProof/>
            <w:webHidden/>
          </w:rPr>
          <w:fldChar w:fldCharType="begin"/>
        </w:r>
        <w:r>
          <w:rPr>
            <w:noProof/>
            <w:webHidden/>
          </w:rPr>
          <w:instrText xml:space="preserve"> PAGEREF _Toc452658689 \h </w:instrText>
        </w:r>
        <w:r>
          <w:rPr>
            <w:noProof/>
            <w:webHidden/>
          </w:rPr>
        </w:r>
        <w:r>
          <w:rPr>
            <w:noProof/>
            <w:webHidden/>
          </w:rPr>
          <w:fldChar w:fldCharType="separate"/>
        </w:r>
        <w:r>
          <w:rPr>
            <w:noProof/>
            <w:webHidden/>
          </w:rPr>
          <w:t>22</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90" w:history="1">
        <w:r w:rsidRPr="002D3C08">
          <w:rPr>
            <w:rStyle w:val="Hyperlink"/>
            <w:rFonts w:eastAsia="Times New Roman"/>
            <w:noProof/>
            <w:lang w:val="ro-RO"/>
          </w:rPr>
          <w:t>5.3</w:t>
        </w:r>
        <w:r>
          <w:rPr>
            <w:rFonts w:asciiTheme="minorHAnsi" w:eastAsiaTheme="minorEastAsia" w:hAnsiTheme="minorHAnsi" w:cstheme="minorBidi"/>
            <w:noProof/>
            <w:color w:val="auto"/>
            <w:sz w:val="22"/>
            <w:szCs w:val="22"/>
          </w:rPr>
          <w:tab/>
        </w:r>
        <w:r w:rsidRPr="002D3C08">
          <w:rPr>
            <w:rStyle w:val="Hyperlink"/>
            <w:noProof/>
            <w:lang w:val="ro-RO"/>
          </w:rPr>
          <w:t>În situaţia în care un material interceptat este considerat ca fiind ilegal, trebuie solicitată distrugerea acestuia.</w:t>
        </w:r>
        <w:r>
          <w:rPr>
            <w:noProof/>
            <w:webHidden/>
          </w:rPr>
          <w:tab/>
        </w:r>
        <w:r>
          <w:rPr>
            <w:noProof/>
            <w:webHidden/>
          </w:rPr>
          <w:fldChar w:fldCharType="begin"/>
        </w:r>
        <w:r>
          <w:rPr>
            <w:noProof/>
            <w:webHidden/>
          </w:rPr>
          <w:instrText xml:space="preserve"> PAGEREF _Toc452658690 \h </w:instrText>
        </w:r>
        <w:r>
          <w:rPr>
            <w:noProof/>
            <w:webHidden/>
          </w:rPr>
        </w:r>
        <w:r>
          <w:rPr>
            <w:noProof/>
            <w:webHidden/>
          </w:rPr>
          <w:fldChar w:fldCharType="separate"/>
        </w:r>
        <w:r>
          <w:rPr>
            <w:noProof/>
            <w:webHidden/>
          </w:rPr>
          <w:t>22</w:t>
        </w:r>
        <w:r>
          <w:rPr>
            <w:noProof/>
            <w:webHidden/>
          </w:rPr>
          <w:fldChar w:fldCharType="end"/>
        </w:r>
      </w:hyperlink>
    </w:p>
    <w:p w:rsidR="004B250B" w:rsidRDefault="004B250B">
      <w:pPr>
        <w:pStyle w:val="TOC1"/>
        <w:tabs>
          <w:tab w:val="left" w:pos="440"/>
          <w:tab w:val="right" w:leader="dot" w:pos="9019"/>
        </w:tabs>
        <w:rPr>
          <w:rFonts w:asciiTheme="minorHAnsi" w:eastAsiaTheme="minorEastAsia" w:hAnsiTheme="minorHAnsi" w:cstheme="minorBidi"/>
          <w:noProof/>
          <w:color w:val="auto"/>
          <w:sz w:val="22"/>
          <w:szCs w:val="22"/>
        </w:rPr>
      </w:pPr>
      <w:hyperlink w:anchor="_Toc452658691" w:history="1">
        <w:r w:rsidRPr="002D3C08">
          <w:rPr>
            <w:rStyle w:val="Hyperlink"/>
            <w:rFonts w:eastAsia="Times New Roman"/>
            <w:noProof/>
            <w:lang w:val="ro-RO"/>
          </w:rPr>
          <w:t>6.</w:t>
        </w:r>
        <w:r>
          <w:rPr>
            <w:rFonts w:asciiTheme="minorHAnsi" w:eastAsiaTheme="minorEastAsia" w:hAnsiTheme="minorHAnsi" w:cstheme="minorBidi"/>
            <w:noProof/>
            <w:color w:val="auto"/>
            <w:sz w:val="22"/>
            <w:szCs w:val="22"/>
          </w:rPr>
          <w:tab/>
        </w:r>
        <w:r w:rsidRPr="002D3C08">
          <w:rPr>
            <w:rStyle w:val="Hyperlink"/>
            <w:noProof/>
            <w:lang w:val="ro-RO"/>
          </w:rPr>
          <w:t>Căi de atac şi sancţiuni</w:t>
        </w:r>
        <w:r>
          <w:rPr>
            <w:noProof/>
            <w:webHidden/>
          </w:rPr>
          <w:tab/>
        </w:r>
        <w:r>
          <w:rPr>
            <w:noProof/>
            <w:webHidden/>
          </w:rPr>
          <w:fldChar w:fldCharType="begin"/>
        </w:r>
        <w:r>
          <w:rPr>
            <w:noProof/>
            <w:webHidden/>
          </w:rPr>
          <w:instrText xml:space="preserve"> PAGEREF _Toc452658691 \h </w:instrText>
        </w:r>
        <w:r>
          <w:rPr>
            <w:noProof/>
            <w:webHidden/>
          </w:rPr>
        </w:r>
        <w:r>
          <w:rPr>
            <w:noProof/>
            <w:webHidden/>
          </w:rPr>
          <w:fldChar w:fldCharType="separate"/>
        </w:r>
        <w:r>
          <w:rPr>
            <w:noProof/>
            <w:webHidden/>
          </w:rPr>
          <w:t>22</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92" w:history="1">
        <w:r w:rsidRPr="002D3C08">
          <w:rPr>
            <w:rStyle w:val="Hyperlink"/>
            <w:rFonts w:eastAsia="Times New Roman"/>
            <w:noProof/>
            <w:lang w:val="ro-RO"/>
          </w:rPr>
          <w:t>6.3</w:t>
        </w:r>
        <w:r>
          <w:rPr>
            <w:rFonts w:asciiTheme="minorHAnsi" w:eastAsiaTheme="minorEastAsia" w:hAnsiTheme="minorHAnsi" w:cstheme="minorBidi"/>
            <w:noProof/>
            <w:color w:val="auto"/>
            <w:sz w:val="22"/>
            <w:szCs w:val="22"/>
          </w:rPr>
          <w:tab/>
        </w:r>
        <w:r w:rsidRPr="002D3C08">
          <w:rPr>
            <w:rStyle w:val="Hyperlink"/>
            <w:noProof/>
            <w:lang w:val="ro-RO"/>
          </w:rPr>
          <w:t>Odată ce măsurile de supraveghere devin cunoscute, avocaţii şi clienţii care au făcut obiectul acestor măsuri trebuie să aibă posibilitatea să conteste legalitatea acestor măsuri în faţa unui judecător.</w:t>
        </w:r>
        <w:r>
          <w:rPr>
            <w:noProof/>
            <w:webHidden/>
          </w:rPr>
          <w:tab/>
        </w:r>
        <w:r>
          <w:rPr>
            <w:noProof/>
            <w:webHidden/>
          </w:rPr>
          <w:fldChar w:fldCharType="begin"/>
        </w:r>
        <w:r>
          <w:rPr>
            <w:noProof/>
            <w:webHidden/>
          </w:rPr>
          <w:instrText xml:space="preserve"> PAGEREF _Toc452658692 \h </w:instrText>
        </w:r>
        <w:r>
          <w:rPr>
            <w:noProof/>
            <w:webHidden/>
          </w:rPr>
        </w:r>
        <w:r>
          <w:rPr>
            <w:noProof/>
            <w:webHidden/>
          </w:rPr>
          <w:fldChar w:fldCharType="separate"/>
        </w:r>
        <w:r>
          <w:rPr>
            <w:noProof/>
            <w:webHidden/>
          </w:rPr>
          <w:t>22</w:t>
        </w:r>
        <w:r>
          <w:rPr>
            <w:noProof/>
            <w:webHidden/>
          </w:rPr>
          <w:fldChar w:fldCharType="end"/>
        </w:r>
      </w:hyperlink>
    </w:p>
    <w:p w:rsidR="004B250B" w:rsidRDefault="004B250B">
      <w:pPr>
        <w:pStyle w:val="TOC1"/>
        <w:tabs>
          <w:tab w:val="left" w:pos="660"/>
          <w:tab w:val="right" w:leader="dot" w:pos="9019"/>
        </w:tabs>
        <w:rPr>
          <w:rFonts w:asciiTheme="minorHAnsi" w:eastAsiaTheme="minorEastAsia" w:hAnsiTheme="minorHAnsi" w:cstheme="minorBidi"/>
          <w:noProof/>
          <w:color w:val="auto"/>
          <w:sz w:val="22"/>
          <w:szCs w:val="22"/>
        </w:rPr>
      </w:pPr>
      <w:hyperlink w:anchor="_Toc452658693" w:history="1">
        <w:r w:rsidRPr="002D3C08">
          <w:rPr>
            <w:rStyle w:val="Hyperlink"/>
            <w:rFonts w:eastAsia="Times New Roman"/>
            <w:noProof/>
            <w:lang w:val="ro-RO"/>
          </w:rPr>
          <w:t>6.4</w:t>
        </w:r>
        <w:r>
          <w:rPr>
            <w:rFonts w:asciiTheme="minorHAnsi" w:eastAsiaTheme="minorEastAsia" w:hAnsiTheme="minorHAnsi" w:cstheme="minorBidi"/>
            <w:noProof/>
            <w:color w:val="auto"/>
            <w:sz w:val="22"/>
            <w:szCs w:val="22"/>
          </w:rPr>
          <w:tab/>
        </w:r>
        <w:r w:rsidRPr="002D3C08">
          <w:rPr>
            <w:rStyle w:val="Hyperlink"/>
            <w:noProof/>
            <w:lang w:val="ro-RO"/>
          </w:rPr>
          <w:t>Toate autorităţile guvernamentale în cazul cărora s-a constatat că au efectuat activităţi de supraveghere ilegale ar trebui să fie pasibile de impunerea unor sancţiuni.</w:t>
        </w:r>
        <w:r>
          <w:rPr>
            <w:noProof/>
            <w:webHidden/>
          </w:rPr>
          <w:tab/>
        </w:r>
        <w:r>
          <w:rPr>
            <w:noProof/>
            <w:webHidden/>
          </w:rPr>
          <w:fldChar w:fldCharType="begin"/>
        </w:r>
        <w:r>
          <w:rPr>
            <w:noProof/>
            <w:webHidden/>
          </w:rPr>
          <w:instrText xml:space="preserve"> PAGEREF _Toc452658693 \h </w:instrText>
        </w:r>
        <w:r>
          <w:rPr>
            <w:noProof/>
            <w:webHidden/>
          </w:rPr>
        </w:r>
        <w:r>
          <w:rPr>
            <w:noProof/>
            <w:webHidden/>
          </w:rPr>
          <w:fldChar w:fldCharType="separate"/>
        </w:r>
        <w:r>
          <w:rPr>
            <w:noProof/>
            <w:webHidden/>
          </w:rPr>
          <w:t>23</w:t>
        </w:r>
        <w:r>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94" w:history="1">
        <w:r w:rsidRPr="002D3C08">
          <w:rPr>
            <w:rStyle w:val="Hyperlink"/>
            <w:noProof/>
            <w:lang w:val="ro-RO"/>
          </w:rPr>
          <w:t>CONCLUZIE</w:t>
        </w:r>
        <w:r>
          <w:rPr>
            <w:noProof/>
            <w:webHidden/>
          </w:rPr>
          <w:tab/>
        </w:r>
        <w:r>
          <w:rPr>
            <w:noProof/>
            <w:webHidden/>
          </w:rPr>
          <w:fldChar w:fldCharType="begin"/>
        </w:r>
        <w:r>
          <w:rPr>
            <w:noProof/>
            <w:webHidden/>
          </w:rPr>
          <w:instrText xml:space="preserve"> PAGEREF _Toc452658694 \h </w:instrText>
        </w:r>
        <w:r>
          <w:rPr>
            <w:noProof/>
            <w:webHidden/>
          </w:rPr>
        </w:r>
        <w:r>
          <w:rPr>
            <w:noProof/>
            <w:webHidden/>
          </w:rPr>
          <w:fldChar w:fldCharType="separate"/>
        </w:r>
        <w:r>
          <w:rPr>
            <w:noProof/>
            <w:webHidden/>
          </w:rPr>
          <w:t>24</w:t>
        </w:r>
        <w:r>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95" w:history="1">
        <w:r w:rsidRPr="002D3C08">
          <w:rPr>
            <w:rStyle w:val="Hyperlink"/>
            <w:noProof/>
            <w:lang w:val="ro-RO"/>
          </w:rPr>
          <w:t>Evoluţie – Acţiuni CCBE în legătură cu supravegherea</w:t>
        </w:r>
        <w:r>
          <w:rPr>
            <w:noProof/>
            <w:webHidden/>
          </w:rPr>
          <w:tab/>
        </w:r>
        <w:r>
          <w:rPr>
            <w:noProof/>
            <w:webHidden/>
          </w:rPr>
          <w:fldChar w:fldCharType="begin"/>
        </w:r>
        <w:r>
          <w:rPr>
            <w:noProof/>
            <w:webHidden/>
          </w:rPr>
          <w:instrText xml:space="preserve"> PAGEREF _Toc452658695 \h </w:instrText>
        </w:r>
        <w:r>
          <w:rPr>
            <w:noProof/>
            <w:webHidden/>
          </w:rPr>
        </w:r>
        <w:r>
          <w:rPr>
            <w:noProof/>
            <w:webHidden/>
          </w:rPr>
          <w:fldChar w:fldCharType="separate"/>
        </w:r>
        <w:r>
          <w:rPr>
            <w:noProof/>
            <w:webHidden/>
          </w:rPr>
          <w:t>24</w:t>
        </w:r>
        <w:r>
          <w:rPr>
            <w:noProof/>
            <w:webHidden/>
          </w:rPr>
          <w:fldChar w:fldCharType="end"/>
        </w:r>
      </w:hyperlink>
    </w:p>
    <w:p w:rsidR="004B250B" w:rsidRDefault="004B250B">
      <w:pPr>
        <w:pStyle w:val="TOC1"/>
        <w:tabs>
          <w:tab w:val="right" w:leader="dot" w:pos="9019"/>
        </w:tabs>
        <w:rPr>
          <w:rFonts w:asciiTheme="minorHAnsi" w:eastAsiaTheme="minorEastAsia" w:hAnsiTheme="minorHAnsi" w:cstheme="minorBidi"/>
          <w:noProof/>
          <w:color w:val="auto"/>
          <w:sz w:val="22"/>
          <w:szCs w:val="22"/>
        </w:rPr>
      </w:pPr>
      <w:hyperlink w:anchor="_Toc452658696" w:history="1">
        <w:r w:rsidRPr="002D3C08">
          <w:rPr>
            <w:rStyle w:val="Hyperlink"/>
            <w:noProof/>
            <w:lang w:val="ro-RO"/>
          </w:rPr>
          <w:t>Bibliografie</w:t>
        </w:r>
        <w:r>
          <w:rPr>
            <w:noProof/>
            <w:webHidden/>
          </w:rPr>
          <w:tab/>
        </w:r>
        <w:r>
          <w:rPr>
            <w:noProof/>
            <w:webHidden/>
          </w:rPr>
          <w:fldChar w:fldCharType="begin"/>
        </w:r>
        <w:r>
          <w:rPr>
            <w:noProof/>
            <w:webHidden/>
          </w:rPr>
          <w:instrText xml:space="preserve"> PAGEREF _Toc452658696 \h </w:instrText>
        </w:r>
        <w:r>
          <w:rPr>
            <w:noProof/>
            <w:webHidden/>
          </w:rPr>
        </w:r>
        <w:r>
          <w:rPr>
            <w:noProof/>
            <w:webHidden/>
          </w:rPr>
          <w:fldChar w:fldCharType="separate"/>
        </w:r>
        <w:r>
          <w:rPr>
            <w:noProof/>
            <w:webHidden/>
          </w:rPr>
          <w:t>26</w:t>
        </w:r>
        <w:r>
          <w:rPr>
            <w:noProof/>
            <w:webHidden/>
          </w:rPr>
          <w:fldChar w:fldCharType="end"/>
        </w:r>
      </w:hyperlink>
    </w:p>
    <w:p w:rsidR="006660B9" w:rsidRPr="00F5644D" w:rsidRDefault="006660B9" w:rsidP="003A16ED">
      <w:pPr>
        <w:pStyle w:val="TOC1"/>
        <w:shd w:val="clear" w:color="auto" w:fill="auto"/>
        <w:tabs>
          <w:tab w:val="right" w:leader="dot" w:pos="8931"/>
        </w:tabs>
        <w:spacing w:line="276" w:lineRule="auto"/>
        <w:jc w:val="left"/>
        <w:rPr>
          <w:lang w:val="ro-RO"/>
        </w:rPr>
      </w:pPr>
      <w:r w:rsidRPr="00F5644D">
        <w:rPr>
          <w:lang w:val="ro-RO"/>
        </w:rPr>
        <w:fldChar w:fldCharType="end"/>
      </w:r>
    </w:p>
    <w:p w:rsidR="006660B9" w:rsidRPr="00F5644D" w:rsidRDefault="006660B9" w:rsidP="003A16ED">
      <w:pPr>
        <w:pStyle w:val="TOC1"/>
        <w:shd w:val="clear" w:color="auto" w:fill="auto"/>
        <w:spacing w:line="276" w:lineRule="auto"/>
        <w:jc w:val="left"/>
        <w:rPr>
          <w:lang w:val="ro-RO"/>
        </w:rPr>
        <w:sectPr w:rsidR="006660B9" w:rsidRPr="00F5644D" w:rsidSect="003A16ED">
          <w:pgSz w:w="11909" w:h="16840"/>
          <w:pgMar w:top="1440" w:right="1440" w:bottom="1440" w:left="1440" w:header="0" w:footer="3" w:gutter="0"/>
          <w:cols w:space="708"/>
          <w:noEndnote/>
          <w:docGrid w:linePitch="360"/>
        </w:sectPr>
      </w:pPr>
    </w:p>
    <w:p w:rsidR="006660B9" w:rsidRPr="00F5644D" w:rsidRDefault="006660B9" w:rsidP="003A16ED">
      <w:pPr>
        <w:pStyle w:val="Heading10"/>
        <w:keepNext/>
        <w:keepLines/>
        <w:shd w:val="clear" w:color="auto" w:fill="auto"/>
        <w:spacing w:before="240" w:line="276" w:lineRule="auto"/>
        <w:rPr>
          <w:lang w:val="ro-RO"/>
        </w:rPr>
      </w:pPr>
      <w:bookmarkStart w:id="6" w:name="_Toc452658676"/>
      <w:r w:rsidRPr="00F5644D">
        <w:rPr>
          <w:lang w:val="ro-RO"/>
        </w:rPr>
        <w:t>INTRODUCERE</w:t>
      </w:r>
      <w:bookmarkEnd w:id="6"/>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ultimii ani, CCBE a exprimat îngrijorări majore</w:t>
      </w:r>
      <w:r w:rsidRPr="00F5644D">
        <w:rPr>
          <w:vertAlign w:val="superscript"/>
          <w:lang w:val="ro-RO"/>
        </w:rPr>
        <w:footnoteReference w:id="1"/>
      </w:r>
      <w:r w:rsidRPr="00F5644D">
        <w:rPr>
          <w:lang w:val="ro-RO"/>
        </w:rPr>
        <w:t xml:space="preserve"> </w:t>
      </w:r>
      <w:r w:rsidRPr="00F5644D">
        <w:rPr>
          <w:kern w:val="1"/>
          <w:lang w:val="ro-RO" w:eastAsia="hi-IN" w:bidi="hi-IN"/>
        </w:rPr>
        <w:t xml:space="preserve">în legătură cu dezvăluirile referitoare la metodele de lucru ale serviciilor naţionale de informaţii. Aceste îngrijorări se referă în special la faptul că organismele de stat au competenţe de anchetă secrete şi/sau controlate insuficient </w:t>
      </w:r>
      <w:r>
        <w:rPr>
          <w:kern w:val="1"/>
          <w:lang w:val="ro-RO" w:eastAsia="hi-IN" w:bidi="hi-IN"/>
        </w:rPr>
        <w:t>ş</w:t>
      </w:r>
      <w:r w:rsidRPr="00F5644D">
        <w:rPr>
          <w:kern w:val="1"/>
          <w:lang w:val="ro-RO" w:eastAsia="hi-IN" w:bidi="hi-IN"/>
        </w:rPr>
        <w:t>i utilizează tehnologii de</w:t>
      </w:r>
      <w:r w:rsidRPr="00F5644D">
        <w:rPr>
          <w:lang w:val="ro-RO"/>
        </w:rPr>
        <w:t xml:space="preserve"> interceptare </w:t>
      </w:r>
      <w:r w:rsidRPr="00F5644D">
        <w:rPr>
          <w:kern w:val="1"/>
          <w:lang w:val="ro-RO" w:eastAsia="hi-IN" w:bidi="hi-IN"/>
        </w:rPr>
        <w:t>şi urmărire foarte sofisticate şi avansate pentru a accesa date din comunicările cetăţenilor, într-un mod generalizat, pe scară largă, fără se bazeze pe suspiciuni. De</w:t>
      </w:r>
      <w:r>
        <w:rPr>
          <w:kern w:val="1"/>
          <w:lang w:val="ro-RO" w:eastAsia="hi-IN" w:bidi="hi-IN"/>
        </w:rPr>
        <w:t>ş</w:t>
      </w:r>
      <w:r w:rsidRPr="00F5644D">
        <w:rPr>
          <w:kern w:val="1"/>
          <w:lang w:val="ro-RO" w:eastAsia="hi-IN" w:bidi="hi-IN"/>
        </w:rPr>
        <w:t xml:space="preserve">i pot aduce beneficii în combaterea terorismului </w:t>
      </w:r>
      <w:r>
        <w:rPr>
          <w:kern w:val="1"/>
          <w:lang w:val="ro-RO" w:eastAsia="hi-IN" w:bidi="hi-IN"/>
        </w:rPr>
        <w:t>ş</w:t>
      </w:r>
      <w:r w:rsidRPr="00F5644D">
        <w:rPr>
          <w:kern w:val="1"/>
          <w:lang w:val="ro-RO" w:eastAsia="hi-IN" w:bidi="hi-IN"/>
        </w:rPr>
        <w:t>i crimei organizate, aceste tehnologii creează noi probleme specifice care trebuie abordate, în special în ceea ce prive</w:t>
      </w:r>
      <w:r>
        <w:rPr>
          <w:kern w:val="1"/>
          <w:lang w:val="ro-RO" w:eastAsia="hi-IN" w:bidi="hi-IN"/>
        </w:rPr>
        <w:t>ş</w:t>
      </w:r>
      <w:r w:rsidRPr="00F5644D">
        <w:rPr>
          <w:kern w:val="1"/>
          <w:lang w:val="ro-RO" w:eastAsia="hi-IN" w:bidi="hi-IN"/>
        </w:rPr>
        <w:t>te caracterul legal al ingerin</w:t>
      </w:r>
      <w:r>
        <w:rPr>
          <w:kern w:val="1"/>
          <w:lang w:val="ro-RO" w:eastAsia="hi-IN" w:bidi="hi-IN"/>
        </w:rPr>
        <w:t>ţ</w:t>
      </w:r>
      <w:r w:rsidRPr="00F5644D">
        <w:rPr>
          <w:kern w:val="1"/>
          <w:lang w:val="ro-RO" w:eastAsia="hi-IN" w:bidi="hi-IN"/>
        </w:rPr>
        <w:t>ei în drepturile fundamentale ale omului</w:t>
      </w:r>
      <w:r w:rsidRPr="00F5644D">
        <w:rPr>
          <w:lang w:val="ro-RO"/>
        </w:rPr>
        <w:t xml:space="preserve">.  </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Această ingerin</w:t>
      </w:r>
      <w:r>
        <w:rPr>
          <w:lang w:val="ro-RO"/>
        </w:rPr>
        <w:t>ţ</w:t>
      </w:r>
      <w:r w:rsidRPr="00F5644D">
        <w:rPr>
          <w:lang w:val="ro-RO"/>
        </w:rPr>
        <w:t xml:space="preserve">ă devine deosebit de periculoasă atunci când guvernele accesează date </w:t>
      </w:r>
      <w:r>
        <w:rPr>
          <w:lang w:val="ro-RO"/>
        </w:rPr>
        <w:t>ş</w:t>
      </w:r>
      <w:r w:rsidRPr="00F5644D">
        <w:rPr>
          <w:lang w:val="ro-RO"/>
        </w:rPr>
        <w:t>i comunicări cărora le-a fost acordată o protec</w:t>
      </w:r>
      <w:r>
        <w:rPr>
          <w:lang w:val="ro-RO"/>
        </w:rPr>
        <w:t>ţ</w:t>
      </w:r>
      <w:r w:rsidRPr="00F5644D">
        <w:rPr>
          <w:lang w:val="ro-RO"/>
        </w:rPr>
        <w:t>ie specială prin lege. Evident, este situa</w:t>
      </w:r>
      <w:r>
        <w:rPr>
          <w:lang w:val="ro-RO"/>
        </w:rPr>
        <w:t>ţ</w:t>
      </w:r>
      <w:r w:rsidRPr="00F5644D">
        <w:rPr>
          <w:lang w:val="ro-RO"/>
        </w:rPr>
        <w:t>ia comunicărilor între avoca</w:t>
      </w:r>
      <w:r>
        <w:rPr>
          <w:lang w:val="ro-RO"/>
        </w:rPr>
        <w:t>ţ</w:t>
      </w:r>
      <w:r w:rsidRPr="00F5644D">
        <w:rPr>
          <w:lang w:val="ro-RO"/>
        </w:rPr>
        <w:t xml:space="preserve">i </w:t>
      </w:r>
      <w:r>
        <w:rPr>
          <w:lang w:val="ro-RO"/>
        </w:rPr>
        <w:t>ş</w:t>
      </w:r>
      <w:r w:rsidRPr="00F5644D">
        <w:rPr>
          <w:lang w:val="ro-RO"/>
        </w:rPr>
        <w:t>i clien</w:t>
      </w:r>
      <w:r>
        <w:rPr>
          <w:lang w:val="ro-RO"/>
        </w:rPr>
        <w:t>ţ</w:t>
      </w:r>
      <w:r w:rsidRPr="00F5644D">
        <w:rPr>
          <w:lang w:val="ro-RO"/>
        </w:rPr>
        <w:t>ii acestora. În toate statele membre ale Uniunii Europene, legea oferă protec</w:t>
      </w:r>
      <w:r>
        <w:rPr>
          <w:lang w:val="ro-RO"/>
        </w:rPr>
        <w:t>ţ</w:t>
      </w:r>
      <w:r w:rsidRPr="00F5644D">
        <w:rPr>
          <w:lang w:val="ro-RO"/>
        </w:rPr>
        <w:t>ie împotriva dezvăluirii informaţiilor comunicate între avocat şi client în condiţii de confidenţialitate. Fără această protecţie, este subminată însăşi funcţionarea statului de drept.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 xml:space="preserve">Ar putea fi afectate mai ales accesul la justiţie, dreptul la un proces echitabil şi dreptul la viaţă privată. Aceste drepturi sunt protejate în numeroase documente juridice interne şi internaţionale, printre care se numără </w:t>
      </w:r>
      <w:r w:rsidRPr="00F5644D">
        <w:rPr>
          <w:lang w:val="ro-RO"/>
        </w:rPr>
        <w:t>Conven</w:t>
      </w:r>
      <w:r>
        <w:rPr>
          <w:lang w:val="ro-RO"/>
        </w:rPr>
        <w:t>ţ</w:t>
      </w:r>
      <w:r w:rsidRPr="00F5644D">
        <w:rPr>
          <w:lang w:val="ro-RO"/>
        </w:rPr>
        <w:t xml:space="preserve">ia Europeană a Drepturilor Omului (ECHR) </w:t>
      </w:r>
      <w:r>
        <w:rPr>
          <w:lang w:val="ro-RO"/>
        </w:rPr>
        <w:t>ş</w:t>
      </w:r>
      <w:r w:rsidRPr="00F5644D">
        <w:rPr>
          <w:lang w:val="ro-RO"/>
        </w:rPr>
        <w:t xml:space="preserve">i Carta Drepturilor Fundamentale a Uniunii Europene. </w:t>
      </w:r>
      <w:r w:rsidRPr="00F5644D">
        <w:rPr>
          <w:kern w:val="1"/>
          <w:lang w:val="ro-RO" w:eastAsia="hi-IN" w:bidi="hi-IN"/>
        </w:rPr>
        <w:t>Subminarea confidenţialităţii comunicării avocat-client – indiferent dacă această confidenţialitate se bazează pe conceptul de secret profesional sau (aşa cum se întâmplă în unele jurisdicţii) pe privilegiul profesiei juridice – înseamnă încălcarea obligaţiilor internaţionale, negarea drepturilor acuzatului şi compromiterea generală a caracterului democratic al statului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Acest aspect a fost recunoscut de către diferite organisme internaţionale</w:t>
      </w:r>
      <w:r w:rsidRPr="00F5644D">
        <w:rPr>
          <w:lang w:val="ro-RO"/>
        </w:rPr>
        <w:t xml:space="preserve">. </w:t>
      </w:r>
      <w:r w:rsidRPr="00F5644D">
        <w:rPr>
          <w:bCs/>
          <w:iCs/>
          <w:kern w:val="1"/>
          <w:lang w:val="ro-RO" w:eastAsia="hi-IN" w:bidi="hi-IN"/>
        </w:rPr>
        <w:t>Parlamentul European, de exemplu, a adoptat în octombrie 2015 o rezoluţie referitoare la măsuri subsecvente</w:t>
      </w:r>
      <w:r w:rsidRPr="00F5644D">
        <w:rPr>
          <w:vertAlign w:val="superscript"/>
          <w:lang w:val="ro-RO"/>
        </w:rPr>
        <w:t xml:space="preserve"> </w:t>
      </w:r>
      <w:r w:rsidRPr="00F5644D">
        <w:rPr>
          <w:vertAlign w:val="superscript"/>
          <w:lang w:val="ro-RO"/>
        </w:rPr>
        <w:footnoteReference w:id="2"/>
      </w:r>
      <w:r w:rsidRPr="00F5644D">
        <w:rPr>
          <w:lang w:val="ro-RO"/>
        </w:rPr>
        <w:t xml:space="preserve"> </w:t>
      </w:r>
      <w:r w:rsidRPr="00F5644D">
        <w:rPr>
          <w:bCs/>
          <w:iCs/>
          <w:kern w:val="1"/>
          <w:lang w:val="ro-RO" w:eastAsia="hi-IN" w:bidi="hi-IN"/>
        </w:rPr>
        <w:t>în legătură cu supravegherea electronică de masă a cetăţenilor UE în care se subliniază că drepturile cetăţenilor UE trebuie protejate împotriva oricărei supravegheri a comunicărilor confidenţiale cu avocaţii</w:t>
      </w:r>
      <w:r w:rsidRPr="00F5644D">
        <w:rPr>
          <w:lang w:val="ro-RO"/>
        </w:rPr>
        <w:t xml:space="preserve">. </w:t>
      </w:r>
      <w:r w:rsidRPr="00F5644D">
        <w:rPr>
          <w:bCs/>
          <w:iCs/>
          <w:kern w:val="1"/>
          <w:lang w:val="ro-RO" w:eastAsia="hi-IN" w:bidi="hi-IN"/>
        </w:rPr>
        <w:t>În plus, Parlamentul European a solicitat în mod explicit Comisiei Europene să adopte o comunicare în această privinţă</w:t>
      </w:r>
      <w:r w:rsidRPr="00F5644D">
        <w:rPr>
          <w:vertAlign w:val="superscript"/>
          <w:lang w:val="ro-RO"/>
        </w:rPr>
        <w:footnoteReference w:id="3"/>
      </w:r>
      <w:r w:rsidRPr="00F5644D">
        <w:rPr>
          <w:lang w:val="ro-RO"/>
        </w:rPr>
        <w:t xml:space="preserve">. </w:t>
      </w:r>
      <w:r w:rsidRPr="00F5644D">
        <w:rPr>
          <w:bCs/>
          <w:iCs/>
          <w:kern w:val="1"/>
          <w:lang w:val="ro-RO" w:eastAsia="hi-IN" w:bidi="hi-IN"/>
        </w:rPr>
        <w:t>În plus, în 2015, Consiliul Europei a adoptat şi a dat publicită</w:t>
      </w:r>
      <w:r>
        <w:rPr>
          <w:bCs/>
          <w:iCs/>
          <w:kern w:val="1"/>
          <w:lang w:val="ro-RO" w:eastAsia="hi-IN" w:bidi="hi-IN"/>
        </w:rPr>
        <w:t>ţ</w:t>
      </w:r>
      <w:r w:rsidRPr="00F5644D">
        <w:rPr>
          <w:bCs/>
          <w:iCs/>
          <w:kern w:val="1"/>
          <w:lang w:val="ro-RO" w:eastAsia="hi-IN" w:bidi="hi-IN"/>
        </w:rPr>
        <w:t>ii mai multe lucrări pe această temă. Adunarea Parlamentară a adoptat o rezoluţi</w:t>
      </w:r>
      <w:r>
        <w:rPr>
          <w:bCs/>
          <w:iCs/>
          <w:kern w:val="1"/>
          <w:lang w:val="ro-RO" w:eastAsia="hi-IN" w:bidi="hi-IN"/>
        </w:rPr>
        <w:t>e</w:t>
      </w:r>
      <w:r w:rsidRPr="00F5644D">
        <w:rPr>
          <w:vertAlign w:val="superscript"/>
          <w:lang w:val="ro-RO"/>
        </w:rPr>
        <w:footnoteReference w:id="4"/>
      </w:r>
      <w:r w:rsidRPr="00F5644D">
        <w:rPr>
          <w:lang w:val="ro-RO"/>
        </w:rPr>
        <w:t xml:space="preserve"> </w:t>
      </w:r>
      <w:r w:rsidRPr="00F5644D">
        <w:rPr>
          <w:bCs/>
          <w:iCs/>
          <w:kern w:val="1"/>
          <w:lang w:val="ro-RO" w:eastAsia="hi-IN" w:bidi="hi-IN"/>
        </w:rPr>
        <w:t>în care a evidenţiat faptul că interceptarea comunicărilor privilegiate ale avocaţilor reprezintă o ameninţare la adresa drepturilor fundamentale, în special a dreptului la viaţă privată şi a dreptului la un proces echitabil. Comisia de la Veneţia a dat publicităţii o versiune actualizată</w:t>
      </w:r>
      <w:r w:rsidRPr="00F5644D">
        <w:rPr>
          <w:vertAlign w:val="superscript"/>
          <w:lang w:val="ro-RO"/>
        </w:rPr>
        <w:footnoteReference w:id="5"/>
      </w:r>
      <w:r w:rsidRPr="00F5644D">
        <w:rPr>
          <w:lang w:val="ro-RO"/>
        </w:rPr>
        <w:t xml:space="preserve"> </w:t>
      </w:r>
      <w:r w:rsidRPr="00F5644D">
        <w:rPr>
          <w:bCs/>
          <w:iCs/>
          <w:kern w:val="1"/>
          <w:lang w:val="ro-RO" w:eastAsia="hi-IN" w:bidi="hi-IN"/>
        </w:rPr>
        <w:t>a unui raport anterior privind supravegherea democratică a serviciilor de securitate şi informaţii în care se recunoa</w:t>
      </w:r>
      <w:r>
        <w:rPr>
          <w:bCs/>
          <w:iCs/>
          <w:kern w:val="1"/>
          <w:lang w:val="ro-RO" w:eastAsia="hi-IN" w:bidi="hi-IN"/>
        </w:rPr>
        <w:t>ş</w:t>
      </w:r>
      <w:r w:rsidRPr="00F5644D">
        <w:rPr>
          <w:bCs/>
          <w:iCs/>
          <w:kern w:val="1"/>
          <w:lang w:val="ro-RO" w:eastAsia="hi-IN" w:bidi="hi-IN"/>
        </w:rPr>
        <w:t>te că, în ceea ce prive</w:t>
      </w:r>
      <w:r>
        <w:rPr>
          <w:bCs/>
          <w:iCs/>
          <w:kern w:val="1"/>
          <w:lang w:val="ro-RO" w:eastAsia="hi-IN" w:bidi="hi-IN"/>
        </w:rPr>
        <w:t>ş</w:t>
      </w:r>
      <w:r w:rsidRPr="00F5644D">
        <w:rPr>
          <w:bCs/>
          <w:iCs/>
          <w:kern w:val="1"/>
          <w:lang w:val="ro-RO" w:eastAsia="hi-IN" w:bidi="hi-IN"/>
        </w:rPr>
        <w:t>te comunicările avocat-client, trebuie asigurată o protec</w:t>
      </w:r>
      <w:r>
        <w:rPr>
          <w:bCs/>
          <w:iCs/>
          <w:kern w:val="1"/>
          <w:lang w:val="ro-RO" w:eastAsia="hi-IN" w:bidi="hi-IN"/>
        </w:rPr>
        <w:t>ţ</w:t>
      </w:r>
      <w:r w:rsidRPr="00F5644D">
        <w:rPr>
          <w:bCs/>
          <w:iCs/>
          <w:kern w:val="1"/>
          <w:lang w:val="ro-RO" w:eastAsia="hi-IN" w:bidi="hi-IN"/>
        </w:rPr>
        <w:t>ie ridicată care să includă garan</w:t>
      </w:r>
      <w:r>
        <w:rPr>
          <w:bCs/>
          <w:iCs/>
          <w:kern w:val="1"/>
          <w:lang w:val="ro-RO" w:eastAsia="hi-IN" w:bidi="hi-IN"/>
        </w:rPr>
        <w:t>ţ</w:t>
      </w:r>
      <w:r w:rsidRPr="00F5644D">
        <w:rPr>
          <w:bCs/>
          <w:iCs/>
          <w:kern w:val="1"/>
          <w:lang w:val="ro-RO" w:eastAsia="hi-IN" w:bidi="hi-IN"/>
        </w:rPr>
        <w:t xml:space="preserve">ii procedurale </w:t>
      </w:r>
      <w:r>
        <w:rPr>
          <w:bCs/>
          <w:iCs/>
          <w:kern w:val="1"/>
          <w:lang w:val="ro-RO" w:eastAsia="hi-IN" w:bidi="hi-IN"/>
        </w:rPr>
        <w:t>ş</w:t>
      </w:r>
      <w:r w:rsidRPr="00F5644D">
        <w:rPr>
          <w:bCs/>
          <w:iCs/>
          <w:kern w:val="1"/>
          <w:lang w:val="ro-RO" w:eastAsia="hi-IN" w:bidi="hi-IN"/>
        </w:rPr>
        <w:t>i supraveghere externă puternică. În sfârşit, Comisarul pentru Drepturile Omului a subliniat într-un document de discuţie</w:t>
      </w:r>
      <w:r w:rsidRPr="00F5644D">
        <w:rPr>
          <w:vertAlign w:val="superscript"/>
          <w:lang w:val="ro-RO"/>
        </w:rPr>
        <w:footnoteReference w:id="6"/>
      </w:r>
      <w:r w:rsidRPr="00F5644D">
        <w:rPr>
          <w:lang w:val="ro-RO"/>
        </w:rPr>
        <w:t xml:space="preserve"> </w:t>
      </w:r>
      <w:r w:rsidRPr="00F5644D">
        <w:rPr>
          <w:bCs/>
          <w:iCs/>
          <w:kern w:val="1"/>
          <w:lang w:val="ro-RO" w:eastAsia="hi-IN" w:bidi="hi-IN"/>
        </w:rPr>
        <w:t>că interceptarea comunicărilor între avocaţi şi clienţii acestora poate submina egalitatea de mijloace a părţilor şi dreptul la un proces echitabil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Deşi importanţa acestui principiu nu poate fi contestată, în prezent principiul este serios ameninţat. Ultimele evenimente din diferite ţări europene compromit protecţia acordată în mod tradiţional secretului profesional</w:t>
      </w:r>
      <w:r w:rsidRPr="00F5644D">
        <w:rPr>
          <w:lang w:val="ro-RO"/>
        </w:rPr>
        <w:t xml:space="preserve"> </w:t>
      </w:r>
      <w:r>
        <w:rPr>
          <w:lang w:val="ro-RO"/>
        </w:rPr>
        <w:t>ş</w:t>
      </w:r>
      <w:r w:rsidRPr="00F5644D">
        <w:rPr>
          <w:lang w:val="ro-RO"/>
        </w:rPr>
        <w:t xml:space="preserve">i privilegiului profesiei juridice </w:t>
      </w:r>
      <w:r w:rsidRPr="00F5644D">
        <w:rPr>
          <w:kern w:val="1"/>
          <w:lang w:val="ro-RO" w:eastAsia="hi-IN" w:bidi="hi-IN"/>
        </w:rPr>
        <w:t>de către statele democratice</w:t>
      </w:r>
      <w:r w:rsidRPr="00F5644D">
        <w:rPr>
          <w:lang w:val="ro-RO"/>
        </w:rPr>
        <w:t>.</w:t>
      </w:r>
      <w:r w:rsidRPr="00F5644D">
        <w:rPr>
          <w:vertAlign w:val="superscript"/>
          <w:lang w:val="ro-RO"/>
        </w:rPr>
        <w:footnoteReference w:id="7"/>
      </w:r>
    </w:p>
    <w:p w:rsidR="006660B9" w:rsidRPr="00F5644D" w:rsidRDefault="006660B9" w:rsidP="003A16ED">
      <w:pPr>
        <w:pStyle w:val="Bodytext40"/>
        <w:shd w:val="clear" w:color="auto" w:fill="auto"/>
        <w:spacing w:before="240" w:line="276" w:lineRule="auto"/>
        <w:rPr>
          <w:lang w:val="ro-RO"/>
        </w:rPr>
      </w:pPr>
      <w:r w:rsidRPr="00F5644D">
        <w:rPr>
          <w:kern w:val="1"/>
          <w:lang w:val="ro-RO" w:eastAsia="hi-IN" w:bidi="hi-IN"/>
        </w:rPr>
        <w:t xml:space="preserve">Scopul prezentului document este de a informa legislatorii şi decidenţii în legătură cu standardele care trebuie respectate pentru a asigura că principiile esenţiale ale secretului profesional </w:t>
      </w:r>
      <w:r>
        <w:rPr>
          <w:lang w:val="ro-RO"/>
        </w:rPr>
        <w:t>ş</w:t>
      </w:r>
      <w:r w:rsidRPr="00F5644D">
        <w:rPr>
          <w:lang w:val="ro-RO"/>
        </w:rPr>
        <w:t xml:space="preserve">i privilegiului profesiei juridice nu sunt subminate de practici ale statului ce implică interceptarea comunicărilor </w:t>
      </w:r>
      <w:r>
        <w:rPr>
          <w:lang w:val="ro-RO"/>
        </w:rPr>
        <w:t>ş</w:t>
      </w:r>
      <w:r w:rsidRPr="00F5644D">
        <w:rPr>
          <w:lang w:val="ro-RO"/>
        </w:rPr>
        <w:t>i accesul la datele avoca</w:t>
      </w:r>
      <w:r>
        <w:rPr>
          <w:lang w:val="ro-RO"/>
        </w:rPr>
        <w:t>ţ</w:t>
      </w:r>
      <w:r w:rsidRPr="00F5644D">
        <w:rPr>
          <w:lang w:val="ro-RO"/>
        </w:rPr>
        <w:t xml:space="preserve">ilor în scopul supravegherii </w:t>
      </w:r>
      <w:r>
        <w:rPr>
          <w:lang w:val="ro-RO"/>
        </w:rPr>
        <w:t>ş</w:t>
      </w:r>
      <w:r w:rsidRPr="00F5644D">
        <w:rPr>
          <w:lang w:val="ro-RO"/>
        </w:rPr>
        <w:t>i/sau al aplicării legii.</w:t>
      </w:r>
    </w:p>
    <w:p w:rsidR="006660B9" w:rsidRPr="00F5644D" w:rsidRDefault="006660B9" w:rsidP="003A16ED">
      <w:pPr>
        <w:pStyle w:val="Bodytext21"/>
        <w:shd w:val="clear" w:color="auto" w:fill="auto"/>
        <w:spacing w:before="240" w:line="276" w:lineRule="auto"/>
        <w:ind w:firstLine="0"/>
        <w:jc w:val="both"/>
        <w:rPr>
          <w:lang w:val="ro-RO"/>
        </w:rPr>
      </w:pPr>
      <w:r>
        <w:rPr>
          <w:lang w:val="ro-RO"/>
        </w:rPr>
        <w:t>Prezentul document nu îşi propune stabilirea unei abordări europene</w:t>
      </w:r>
      <w:r w:rsidRPr="00F5644D">
        <w:rPr>
          <w:lang w:val="ro-RO"/>
        </w:rPr>
        <w:t xml:space="preserve">, </w:t>
      </w:r>
      <w:r>
        <w:rPr>
          <w:lang w:val="ro-RO"/>
        </w:rPr>
        <w:t>recunoscând atât faptul că există diferenţe importante între</w:t>
      </w:r>
      <w:r w:rsidRPr="00F5644D">
        <w:rPr>
          <w:lang w:val="ro-RO"/>
        </w:rPr>
        <w:t xml:space="preserve"> </w:t>
      </w:r>
      <w:r>
        <w:rPr>
          <w:lang w:val="ro-RO"/>
        </w:rPr>
        <w:t>privilegiul profesiei juridice şi secretul profesional, cât şi faptul că pot exista diferenţe în înţelegerea naturii şi domeniului</w:t>
      </w:r>
      <w:r w:rsidRPr="00F5644D">
        <w:rPr>
          <w:lang w:val="ro-RO"/>
        </w:rPr>
        <w:t xml:space="preserve"> </w:t>
      </w:r>
      <w:r>
        <w:rPr>
          <w:lang w:val="ro-RO"/>
        </w:rPr>
        <w:t>de aplicare a secretului profesional în diferite jurisdicţii</w:t>
      </w:r>
      <w:r w:rsidRPr="00F5644D">
        <w:rPr>
          <w:lang w:val="ro-RO"/>
        </w:rPr>
        <w:t xml:space="preserve">. </w:t>
      </w:r>
      <w:r>
        <w:rPr>
          <w:lang w:val="ro-RO"/>
        </w:rPr>
        <w:t>Cu toate acestea</w:t>
      </w:r>
      <w:r w:rsidRPr="00F5644D">
        <w:rPr>
          <w:lang w:val="ro-RO"/>
        </w:rPr>
        <w:t xml:space="preserve">, </w:t>
      </w:r>
      <w:r>
        <w:rPr>
          <w:lang w:val="ro-RO"/>
        </w:rPr>
        <w:t>oricare ar fi abordarea specifică a diferitelor jurisdicţii</w:t>
      </w:r>
      <w:r w:rsidRPr="00F5644D">
        <w:rPr>
          <w:lang w:val="ro-RO"/>
        </w:rPr>
        <w:t xml:space="preserve">, </w:t>
      </w:r>
      <w:r>
        <w:rPr>
          <w:lang w:val="ro-RO"/>
        </w:rPr>
        <w:t>toate statele membre ale Consiliului Europei au obligaţia de a respecta Convenţia europeană</w:t>
      </w:r>
      <w:r w:rsidRPr="00F5644D">
        <w:rPr>
          <w:lang w:val="ro-RO"/>
        </w:rPr>
        <w:t xml:space="preserve"> </w:t>
      </w:r>
      <w:r>
        <w:rPr>
          <w:lang w:val="ro-RO"/>
        </w:rPr>
        <w:t>a drepturilor omului</w:t>
      </w:r>
      <w:r w:rsidRPr="00F5644D">
        <w:rPr>
          <w:lang w:val="ro-RO"/>
        </w:rPr>
        <w:t xml:space="preserve"> (ECHR) </w:t>
      </w:r>
      <w:r>
        <w:rPr>
          <w:lang w:val="ro-RO"/>
        </w:rPr>
        <w:t>şi</w:t>
      </w:r>
      <w:r w:rsidRPr="00F5644D">
        <w:rPr>
          <w:lang w:val="ro-RO"/>
        </w:rPr>
        <w:t xml:space="preserve">, </w:t>
      </w:r>
      <w:r>
        <w:rPr>
          <w:lang w:val="ro-RO"/>
        </w:rPr>
        <w:t>în plus</w:t>
      </w:r>
      <w:r w:rsidRPr="00F5644D">
        <w:rPr>
          <w:lang w:val="ro-RO"/>
        </w:rPr>
        <w:t xml:space="preserve">, </w:t>
      </w:r>
      <w:r>
        <w:rPr>
          <w:lang w:val="ro-RO"/>
        </w:rPr>
        <w:t>statele membre ale Uniunii Europene au obligaţia</w:t>
      </w:r>
      <w:r w:rsidRPr="00F5644D">
        <w:rPr>
          <w:lang w:val="ro-RO"/>
        </w:rPr>
        <w:t xml:space="preserve"> </w:t>
      </w:r>
      <w:r>
        <w:rPr>
          <w:lang w:val="ro-RO"/>
        </w:rPr>
        <w:t>de a respecta prevederile legislaţiei UE</w:t>
      </w:r>
      <w:r w:rsidRPr="00F5644D">
        <w:rPr>
          <w:lang w:val="ro-RO"/>
        </w:rPr>
        <w:t xml:space="preserve">. </w:t>
      </w:r>
      <w:r>
        <w:rPr>
          <w:lang w:val="ro-RO"/>
        </w:rPr>
        <w:t xml:space="preserve">Prin urmare, abordarea adoptată de prezentul document este să efectueze o analiză a abordării Curţii Europene a Drepturilor Omului </w:t>
      </w:r>
      <w:r w:rsidRPr="00F5644D">
        <w:rPr>
          <w:lang w:val="ro-RO"/>
        </w:rPr>
        <w:t>(</w:t>
      </w:r>
      <w:r>
        <w:rPr>
          <w:lang w:val="ro-RO"/>
        </w:rPr>
        <w:t>CEDO</w:t>
      </w:r>
      <w:r w:rsidRPr="00F5644D">
        <w:rPr>
          <w:lang w:val="ro-RO"/>
        </w:rPr>
        <w:t xml:space="preserve">) </w:t>
      </w:r>
      <w:r>
        <w:rPr>
          <w:lang w:val="ro-RO"/>
        </w:rPr>
        <w:t>şi a Curţii de Justiţie a Uniunii Europene</w:t>
      </w:r>
      <w:r w:rsidRPr="00F5644D">
        <w:rPr>
          <w:lang w:val="ro-RO"/>
        </w:rPr>
        <w:t xml:space="preserve"> (</w:t>
      </w:r>
      <w:r>
        <w:rPr>
          <w:lang w:val="ro-RO"/>
        </w:rPr>
        <w:t>CJUE</w:t>
      </w:r>
      <w:r w:rsidRPr="00F5644D">
        <w:rPr>
          <w:lang w:val="ro-RO"/>
        </w:rPr>
        <w:t xml:space="preserve">), </w:t>
      </w:r>
      <w:r>
        <w:rPr>
          <w:lang w:val="ro-RO"/>
        </w:rPr>
        <w:t>pentru a distinge standardele minime care se aplică în întreaga Europă</w:t>
      </w:r>
      <w:r w:rsidRPr="00F5644D">
        <w:rPr>
          <w:lang w:val="ro-RO"/>
        </w:rPr>
        <w:t xml:space="preserve">. </w:t>
      </w:r>
      <w:r>
        <w:rPr>
          <w:lang w:val="ro-RO"/>
        </w:rPr>
        <w:t>Desigur, se acceptă faptul că anumite jurisdicţii pot aplica standarde care depăşesc aceste standarde minime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Pentru scopurile prezentului document</w:t>
      </w:r>
      <w:r w:rsidRPr="00F5644D">
        <w:rPr>
          <w:lang w:val="ro-RO"/>
        </w:rPr>
        <w:t xml:space="preserve">, </w:t>
      </w:r>
      <w:r>
        <w:rPr>
          <w:lang w:val="ro-RO"/>
        </w:rPr>
        <w:t>termenii "stat</w:t>
      </w:r>
      <w:r w:rsidRPr="00F5644D">
        <w:rPr>
          <w:lang w:val="ro-RO"/>
        </w:rPr>
        <w:t xml:space="preserve">" </w:t>
      </w:r>
      <w:r>
        <w:rPr>
          <w:lang w:val="ro-RO"/>
        </w:rPr>
        <w:t>sau</w:t>
      </w:r>
      <w:r w:rsidRPr="00F5644D">
        <w:rPr>
          <w:lang w:val="ro-RO"/>
        </w:rPr>
        <w:t xml:space="preserve"> “</w:t>
      </w:r>
      <w:r>
        <w:rPr>
          <w:lang w:val="ro-RO"/>
        </w:rPr>
        <w:t>guvern”</w:t>
      </w:r>
      <w:r w:rsidRPr="00F5644D">
        <w:rPr>
          <w:lang w:val="ro-RO"/>
        </w:rPr>
        <w:t xml:space="preserve"> </w:t>
      </w:r>
      <w:r>
        <w:rPr>
          <w:lang w:val="ro-RO"/>
        </w:rPr>
        <w:t>sunt în mod deliberat utilizaţi de o manieră largă şi imprecisă, deoarece aceşti termeni pot face referire la guvernul naţional, la diferite niveluri ale guvernului</w:t>
      </w:r>
      <w:r w:rsidRPr="00F5644D">
        <w:rPr>
          <w:lang w:val="ro-RO"/>
        </w:rPr>
        <w:t xml:space="preserve"> (federal, </w:t>
      </w:r>
      <w:r>
        <w:rPr>
          <w:lang w:val="ro-RO"/>
        </w:rPr>
        <w:t>de stat sau local</w:t>
      </w:r>
      <w:r w:rsidRPr="00F5644D">
        <w:rPr>
          <w:lang w:val="ro-RO"/>
        </w:rPr>
        <w:t>)</w:t>
      </w:r>
      <w:r>
        <w:rPr>
          <w:lang w:val="ro-RO"/>
        </w:rPr>
        <w:t>, la agenţii guvernamentale</w:t>
      </w:r>
      <w:r w:rsidRPr="00F5644D">
        <w:rPr>
          <w:lang w:val="ro-RO"/>
        </w:rPr>
        <w:t xml:space="preserve">, </w:t>
      </w:r>
      <w:r>
        <w:rPr>
          <w:lang w:val="ro-RO"/>
        </w:rPr>
        <w:t>autorităţi fiscale</w:t>
      </w:r>
      <w:r w:rsidRPr="00F5644D">
        <w:rPr>
          <w:lang w:val="ro-RO"/>
        </w:rPr>
        <w:t xml:space="preserve">, </w:t>
      </w:r>
      <w:r>
        <w:rPr>
          <w:lang w:val="ro-RO"/>
        </w:rPr>
        <w:t>agenţii independente care îndeplinesc atribuţii publice</w:t>
      </w:r>
      <w:r w:rsidRPr="00F5644D">
        <w:rPr>
          <w:lang w:val="ro-RO"/>
        </w:rPr>
        <w:t xml:space="preserve">, </w:t>
      </w:r>
      <w:r>
        <w:rPr>
          <w:lang w:val="ro-RO"/>
        </w:rPr>
        <w:t>poliţie</w:t>
      </w:r>
      <w:r w:rsidRPr="00F5644D">
        <w:rPr>
          <w:lang w:val="ro-RO"/>
        </w:rPr>
        <w:t xml:space="preserve">, </w:t>
      </w:r>
      <w:r>
        <w:rPr>
          <w:lang w:val="ro-RO"/>
        </w:rPr>
        <w:t>parchet</w:t>
      </w:r>
      <w:r w:rsidRPr="00F5644D">
        <w:rPr>
          <w:lang w:val="ro-RO"/>
        </w:rPr>
        <w:t xml:space="preserve">, </w:t>
      </w:r>
      <w:r>
        <w:rPr>
          <w:lang w:val="ro-RO"/>
        </w:rPr>
        <w:t>servicii de informaţii etc.</w:t>
      </w:r>
      <w:r w:rsidRPr="00F5644D">
        <w:rPr>
          <w:lang w:val="ro-RO"/>
        </w:rPr>
        <w:t xml:space="preserve"> </w:t>
      </w:r>
      <w:r>
        <w:rPr>
          <w:lang w:val="ro-RO"/>
        </w:rPr>
        <w:t>Recomandările vizează accesul statului sub toate formele sale şi</w:t>
      </w:r>
      <w:r w:rsidRPr="00F5644D">
        <w:rPr>
          <w:lang w:val="ro-RO"/>
        </w:rPr>
        <w:t xml:space="preserve"> </w:t>
      </w:r>
      <w:r>
        <w:rPr>
          <w:lang w:val="ro-RO"/>
        </w:rPr>
        <w:t>manifestări privind datele şi comunicările între avocaţi şi clienţi</w:t>
      </w:r>
      <w:r w:rsidRPr="00F5644D">
        <w:rPr>
          <w:lang w:val="ro-RO"/>
        </w:rPr>
        <w:t>.</w:t>
      </w:r>
    </w:p>
    <w:p w:rsidR="006660B9" w:rsidRPr="00F5644D" w:rsidRDefault="006660B9">
      <w:pPr>
        <w:rPr>
          <w:rFonts w:ascii="Arial" w:eastAsia="Times New Roman" w:hAnsi="Arial" w:cs="Arial"/>
          <w:b/>
          <w:bCs/>
          <w:sz w:val="20"/>
          <w:szCs w:val="20"/>
          <w:lang w:val="ro-RO"/>
        </w:rPr>
      </w:pPr>
      <w:bookmarkStart w:id="7" w:name="bookmark2"/>
      <w:r w:rsidRPr="00F5644D">
        <w:rPr>
          <w:lang w:val="ro-RO"/>
        </w:rPr>
        <w:br w:type="page"/>
      </w:r>
    </w:p>
    <w:p w:rsidR="006660B9" w:rsidRPr="00F5644D" w:rsidRDefault="006660B9" w:rsidP="003A16ED">
      <w:pPr>
        <w:pStyle w:val="Heading10"/>
        <w:keepNext/>
        <w:keepLines/>
        <w:shd w:val="clear" w:color="auto" w:fill="auto"/>
        <w:spacing w:before="240" w:line="276" w:lineRule="auto"/>
        <w:rPr>
          <w:lang w:val="ro-RO"/>
        </w:rPr>
      </w:pPr>
      <w:bookmarkStart w:id="8" w:name="_Toc452658677"/>
      <w:r w:rsidRPr="00F5644D">
        <w:rPr>
          <w:lang w:val="ro-RO"/>
        </w:rPr>
        <w:t xml:space="preserve">PARTEA I: SECRETUL PROFESIONAL </w:t>
      </w:r>
      <w:r>
        <w:rPr>
          <w:lang w:val="ro-RO"/>
        </w:rPr>
        <w:t>Ş</w:t>
      </w:r>
      <w:r w:rsidRPr="00F5644D">
        <w:rPr>
          <w:lang w:val="ro-RO"/>
        </w:rPr>
        <w:t xml:space="preserve">I PRIVILEGIUL PROFESIEI JURIDICE – </w:t>
      </w:r>
      <w:bookmarkEnd w:id="7"/>
      <w:r w:rsidRPr="00F5644D">
        <w:rPr>
          <w:lang w:val="ro-RO"/>
        </w:rPr>
        <w:t xml:space="preserve">SENS </w:t>
      </w:r>
      <w:r>
        <w:rPr>
          <w:lang w:val="ro-RO"/>
        </w:rPr>
        <w:t>Ş</w:t>
      </w:r>
      <w:r w:rsidRPr="00F5644D">
        <w:rPr>
          <w:lang w:val="ro-RO"/>
        </w:rPr>
        <w:t>I DOMENIU DE APLICARE</w:t>
      </w:r>
      <w:bookmarkEnd w:id="8"/>
    </w:p>
    <w:p w:rsidR="006660B9" w:rsidRPr="00F5644D" w:rsidRDefault="006660B9" w:rsidP="003A16ED">
      <w:pPr>
        <w:pStyle w:val="Bodytext61"/>
        <w:shd w:val="clear" w:color="auto" w:fill="auto"/>
        <w:spacing w:before="240" w:line="276" w:lineRule="auto"/>
        <w:rPr>
          <w:lang w:val="ro-RO"/>
        </w:rPr>
      </w:pPr>
      <w:r w:rsidRPr="00F5644D">
        <w:rPr>
          <w:kern w:val="1"/>
          <w:lang w:val="ro-RO" w:eastAsia="hi-IN" w:bidi="hi-IN"/>
        </w:rPr>
        <w:t>Secretul profesional şi privilegiul profesiei juridice</w:t>
      </w:r>
      <w:r w:rsidRPr="00F5644D">
        <w:rPr>
          <w:lang w:val="ro-RO"/>
        </w:rPr>
        <w:t xml:space="preserve"> </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Eficien</w:t>
      </w:r>
      <w:r>
        <w:rPr>
          <w:bCs/>
          <w:iCs/>
          <w:kern w:val="1"/>
          <w:lang w:val="ro-RO" w:eastAsia="hi-IN" w:bidi="hi-IN"/>
        </w:rPr>
        <w:t>ţ</w:t>
      </w:r>
      <w:r w:rsidRPr="00F5644D">
        <w:rPr>
          <w:bCs/>
          <w:iCs/>
          <w:kern w:val="1"/>
          <w:lang w:val="ro-RO" w:eastAsia="hi-IN" w:bidi="hi-IN"/>
        </w:rPr>
        <w:t>a avoca</w:t>
      </w:r>
      <w:r>
        <w:rPr>
          <w:bCs/>
          <w:iCs/>
          <w:kern w:val="1"/>
          <w:lang w:val="ro-RO" w:eastAsia="hi-IN" w:bidi="hi-IN"/>
        </w:rPr>
        <w:t>ţ</w:t>
      </w:r>
      <w:r w:rsidRPr="00F5644D">
        <w:rPr>
          <w:bCs/>
          <w:iCs/>
          <w:kern w:val="1"/>
          <w:lang w:val="ro-RO" w:eastAsia="hi-IN" w:bidi="hi-IN"/>
        </w:rPr>
        <w:t>ilor atunci când apără drepturile clienţilor depinde de existen</w:t>
      </w:r>
      <w:r>
        <w:rPr>
          <w:bCs/>
          <w:iCs/>
          <w:kern w:val="1"/>
          <w:lang w:val="ro-RO" w:eastAsia="hi-IN" w:bidi="hi-IN"/>
        </w:rPr>
        <w:t>ţ</w:t>
      </w:r>
      <w:r w:rsidRPr="00F5644D">
        <w:rPr>
          <w:bCs/>
          <w:iCs/>
          <w:kern w:val="1"/>
          <w:lang w:val="ro-RO" w:eastAsia="hi-IN" w:bidi="hi-IN"/>
        </w:rPr>
        <w:t>a unei încrederi în legătură cu respectarea confiden</w:t>
      </w:r>
      <w:r>
        <w:rPr>
          <w:bCs/>
          <w:iCs/>
          <w:kern w:val="1"/>
          <w:lang w:val="ro-RO" w:eastAsia="hi-IN" w:bidi="hi-IN"/>
        </w:rPr>
        <w:t>ţ</w:t>
      </w:r>
      <w:r w:rsidRPr="00F5644D">
        <w:rPr>
          <w:bCs/>
          <w:iCs/>
          <w:kern w:val="1"/>
          <w:lang w:val="ro-RO" w:eastAsia="hi-IN" w:bidi="hi-IN"/>
        </w:rPr>
        <w:t>ialită</w:t>
      </w:r>
      <w:r>
        <w:rPr>
          <w:bCs/>
          <w:iCs/>
          <w:kern w:val="1"/>
          <w:lang w:val="ro-RO" w:eastAsia="hi-IN" w:bidi="hi-IN"/>
        </w:rPr>
        <w:t>ţ</w:t>
      </w:r>
      <w:r w:rsidRPr="00F5644D">
        <w:rPr>
          <w:bCs/>
          <w:iCs/>
          <w:kern w:val="1"/>
          <w:lang w:val="ro-RO" w:eastAsia="hi-IN" w:bidi="hi-IN"/>
        </w:rPr>
        <w:t>ii comunicărilor dintre avocat şi client</w:t>
      </w:r>
      <w:r w:rsidRPr="00F5644D">
        <w:rPr>
          <w:lang w:val="ro-RO"/>
        </w:rPr>
        <w:t xml:space="preserve">. </w:t>
      </w:r>
      <w:r w:rsidRPr="00F5644D">
        <w:rPr>
          <w:bCs/>
          <w:iCs/>
          <w:kern w:val="1"/>
          <w:lang w:val="ro-RO" w:eastAsia="hi-IN" w:bidi="hi-IN"/>
        </w:rPr>
        <w:t>Acest aspect este recunoscut de secole pe întregul teritoriu al Europei. Practic, fără această garanţie, există pericolul ca, pe de o parte, clientul să nu aibă încrederea necesară</w:t>
      </w:r>
      <w:r w:rsidRPr="00F5644D">
        <w:rPr>
          <w:vertAlign w:val="superscript"/>
          <w:lang w:val="ro-RO"/>
        </w:rPr>
        <w:footnoteReference w:id="8"/>
      </w:r>
      <w:r w:rsidRPr="00F5644D">
        <w:rPr>
          <w:lang w:val="ro-RO"/>
        </w:rPr>
        <w:t xml:space="preserve"> </w:t>
      </w:r>
      <w:r w:rsidRPr="00F5644D">
        <w:rPr>
          <w:bCs/>
          <w:iCs/>
          <w:kern w:val="1"/>
          <w:lang w:val="ro-RO" w:eastAsia="hi-IN" w:bidi="hi-IN"/>
        </w:rPr>
        <w:t>pentru a face dezvăluiri complete şi sincere avocaţilor săi şi, pe de altă parte, avocatul să nu dispună de informaţii suficiente (ce ar putea fi importante) care să-i permită să ofere clientului servicii de consiliere complete şi cuprinzătoare şi să îl reprezinte eficient</w:t>
      </w:r>
      <w:r w:rsidRPr="00F5644D">
        <w:rPr>
          <w:lang w:val="ro-RO"/>
        </w:rPr>
        <w:t xml:space="preserve">. </w:t>
      </w:r>
      <w:r>
        <w:rPr>
          <w:lang w:val="ro-RO"/>
        </w:rPr>
        <w:t>Fără această încredere</w:t>
      </w:r>
      <w:r w:rsidRPr="00F5644D">
        <w:rPr>
          <w:lang w:val="ro-RO"/>
        </w:rPr>
        <w:t xml:space="preserve">, </w:t>
      </w:r>
      <w:r>
        <w:rPr>
          <w:lang w:val="ro-RO"/>
        </w:rPr>
        <w:t xml:space="preserve">clientul nu ar putea avea siguranţa că poate </w:t>
      </w:r>
      <w:r w:rsidRPr="00F5644D">
        <w:rPr>
          <w:bCs/>
          <w:iCs/>
          <w:kern w:val="1"/>
          <w:lang w:val="ro-RO" w:eastAsia="hi-IN" w:bidi="hi-IN"/>
        </w:rPr>
        <w:t xml:space="preserve">face dezvăluiri complete şi sincere </w:t>
      </w:r>
      <w:r>
        <w:rPr>
          <w:lang w:val="ro-RO"/>
        </w:rPr>
        <w:t>avocatului său</w:t>
      </w:r>
      <w:r w:rsidRPr="00F5644D">
        <w:rPr>
          <w:lang w:val="ro-RO"/>
        </w:rPr>
        <w:t xml:space="preserve">, </w:t>
      </w:r>
      <w:r>
        <w:rPr>
          <w:lang w:val="ro-RO"/>
        </w:rPr>
        <w:t>aspect esenţial</w:t>
      </w:r>
      <w:r w:rsidRPr="00F5644D">
        <w:rPr>
          <w:lang w:val="ro-RO"/>
        </w:rPr>
        <w:t xml:space="preserve"> </w:t>
      </w:r>
      <w:r>
        <w:rPr>
          <w:lang w:val="ro-RO"/>
        </w:rPr>
        <w:t>pentru a oferi</w:t>
      </w:r>
      <w:r w:rsidRPr="00F5644D">
        <w:rPr>
          <w:lang w:val="ro-RO"/>
        </w:rPr>
        <w:t xml:space="preserve"> </w:t>
      </w:r>
      <w:r>
        <w:rPr>
          <w:lang w:val="ro-RO"/>
        </w:rPr>
        <w:t>servicii de consiliere şi asistenţă juridică complete şi adecvate, constituind, prin urmare, o garanţie esenţială pentru un proces echitabil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Din cauza acestui imperativ la nivel de politici</w:t>
      </w:r>
      <w:r w:rsidRPr="00F5644D">
        <w:rPr>
          <w:lang w:val="ro-RO"/>
        </w:rPr>
        <w:t xml:space="preserve">, </w:t>
      </w:r>
      <w:r>
        <w:rPr>
          <w:lang w:val="ro-RO"/>
        </w:rPr>
        <w:t>toate ţările europene au prevederi legislative în scopul asigurării protejării dreptului şi îndatoririi</w:t>
      </w:r>
      <w:r w:rsidRPr="00F5644D">
        <w:rPr>
          <w:lang w:val="ro-RO"/>
        </w:rPr>
        <w:t xml:space="preserve"> </w:t>
      </w:r>
      <w:r>
        <w:rPr>
          <w:lang w:val="ro-RO"/>
        </w:rPr>
        <w:t>avocatului de a păstra confidenţialitatea</w:t>
      </w:r>
      <w:r w:rsidRPr="00F5644D">
        <w:rPr>
          <w:lang w:val="ro-RO"/>
        </w:rPr>
        <w:t xml:space="preserve"> </w:t>
      </w:r>
      <w:r>
        <w:rPr>
          <w:lang w:val="ro-RO"/>
        </w:rPr>
        <w:t>datelor clienţilor săi</w:t>
      </w:r>
      <w:r w:rsidRPr="00F5644D">
        <w:rPr>
          <w:lang w:val="ro-RO"/>
        </w:rPr>
        <w:t xml:space="preserve">. </w:t>
      </w:r>
      <w:r w:rsidRPr="00F5644D">
        <w:rPr>
          <w:bCs/>
          <w:iCs/>
          <w:kern w:val="1"/>
          <w:lang w:val="ro-RO" w:eastAsia="hi-IN" w:bidi="hi-IN"/>
        </w:rPr>
        <w:t>În unele jurisdicţii din Europa, această garanţie este oferită prin plasarea comunicărilor în cauză sub protecţia privilegiului profesiei juridice, iar în alte jurisdicţii prin considerarea comunicărilor drept secrete profesionale. Însă ambele abordări urmăresc acelaşi scop: protejarea informa</w:t>
      </w:r>
      <w:r>
        <w:rPr>
          <w:bCs/>
          <w:iCs/>
          <w:kern w:val="1"/>
          <w:lang w:val="ro-RO" w:eastAsia="hi-IN" w:bidi="hi-IN"/>
        </w:rPr>
        <w:t>ţ</w:t>
      </w:r>
      <w:r w:rsidRPr="00F5644D">
        <w:rPr>
          <w:bCs/>
          <w:iCs/>
          <w:kern w:val="1"/>
          <w:lang w:val="ro-RO" w:eastAsia="hi-IN" w:bidi="hi-IN"/>
        </w:rPr>
        <w:t>iilor generate în cadrul rela</w:t>
      </w:r>
      <w:r>
        <w:rPr>
          <w:bCs/>
          <w:iCs/>
          <w:kern w:val="1"/>
          <w:lang w:val="ro-RO" w:eastAsia="hi-IN" w:bidi="hi-IN"/>
        </w:rPr>
        <w:t>ţ</w:t>
      </w:r>
      <w:r w:rsidRPr="00F5644D">
        <w:rPr>
          <w:bCs/>
          <w:iCs/>
          <w:kern w:val="1"/>
          <w:lang w:val="ro-RO" w:eastAsia="hi-IN" w:bidi="hi-IN"/>
        </w:rPr>
        <w:t>iei avocat-client pentru a oferi sau a primi servicii de consiliere juridică</w:t>
      </w:r>
      <w:r w:rsidRPr="00F5644D">
        <w:rPr>
          <w:lang w:val="ro-RO"/>
        </w:rPr>
        <w:t xml:space="preserve"> (</w:t>
      </w:r>
      <w:r>
        <w:rPr>
          <w:lang w:val="ro-RO"/>
        </w:rPr>
        <w:t>atât</w:t>
      </w:r>
      <w:r w:rsidRPr="00F5644D">
        <w:rPr>
          <w:lang w:val="ro-RO"/>
        </w:rPr>
        <w:t xml:space="preserve"> </w:t>
      </w:r>
      <w:r>
        <w:rPr>
          <w:lang w:val="ro-RO"/>
        </w:rPr>
        <w:t>în proceduri contencioase, cât şi necontencioase</w:t>
      </w:r>
      <w:r w:rsidRPr="00F5644D">
        <w:rPr>
          <w:lang w:val="ro-RO"/>
        </w:rPr>
        <w:t xml:space="preserve">) </w:t>
      </w:r>
      <w:r>
        <w:rPr>
          <w:bCs/>
          <w:iCs/>
          <w:kern w:val="1"/>
          <w:lang w:val="ro-RO" w:eastAsia="hi-IN" w:bidi="hi-IN"/>
        </w:rPr>
        <w:t>ş</w:t>
      </w:r>
      <w:r w:rsidRPr="00F5644D">
        <w:rPr>
          <w:bCs/>
          <w:iCs/>
          <w:kern w:val="1"/>
          <w:lang w:val="ro-RO" w:eastAsia="hi-IN" w:bidi="hi-IN"/>
        </w:rPr>
        <w:t>i/sau reprezentare în orice ac</w:t>
      </w:r>
      <w:r>
        <w:rPr>
          <w:bCs/>
          <w:iCs/>
          <w:kern w:val="1"/>
          <w:lang w:val="ro-RO" w:eastAsia="hi-IN" w:bidi="hi-IN"/>
        </w:rPr>
        <w:t>ţ</w:t>
      </w:r>
      <w:r w:rsidRPr="00F5644D">
        <w:rPr>
          <w:bCs/>
          <w:iCs/>
          <w:kern w:val="1"/>
          <w:lang w:val="ro-RO" w:eastAsia="hi-IN" w:bidi="hi-IN"/>
        </w:rPr>
        <w:t>iuni în justi</w:t>
      </w:r>
      <w:r>
        <w:rPr>
          <w:bCs/>
          <w:iCs/>
          <w:kern w:val="1"/>
          <w:lang w:val="ro-RO" w:eastAsia="hi-IN" w:bidi="hi-IN"/>
        </w:rPr>
        <w:t>ţ</w:t>
      </w:r>
      <w:r w:rsidRPr="00F5644D">
        <w:rPr>
          <w:bCs/>
          <w:iCs/>
          <w:kern w:val="1"/>
          <w:lang w:val="ro-RO" w:eastAsia="hi-IN" w:bidi="hi-IN"/>
        </w:rPr>
        <w:t>ie</w:t>
      </w:r>
      <w:r w:rsidRPr="00F5644D">
        <w:rPr>
          <w:lang w:val="ro-RO"/>
        </w:rPr>
        <w:t xml:space="preserve">, </w:t>
      </w:r>
      <w:r>
        <w:rPr>
          <w:lang w:val="ro-RO"/>
        </w:rPr>
        <w:t>indiferent că sunt în materie civilă sau penală</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De</w:t>
      </w:r>
      <w:r>
        <w:rPr>
          <w:bCs/>
          <w:iCs/>
          <w:kern w:val="1"/>
          <w:lang w:val="ro-RO" w:eastAsia="hi-IN" w:bidi="hi-IN"/>
        </w:rPr>
        <w:t>ş</w:t>
      </w:r>
      <w:r w:rsidRPr="00F5644D">
        <w:rPr>
          <w:bCs/>
          <w:iCs/>
          <w:kern w:val="1"/>
          <w:lang w:val="ro-RO" w:eastAsia="hi-IN" w:bidi="hi-IN"/>
        </w:rPr>
        <w:t xml:space="preserve">i scopul prezentului document nu constă în analiza detaliată a privilegiului profesiei juridice </w:t>
      </w:r>
      <w:r>
        <w:rPr>
          <w:bCs/>
          <w:iCs/>
          <w:kern w:val="1"/>
          <w:lang w:val="ro-RO" w:eastAsia="hi-IN" w:bidi="hi-IN"/>
        </w:rPr>
        <w:t>ş</w:t>
      </w:r>
      <w:r w:rsidRPr="00F5644D">
        <w:rPr>
          <w:bCs/>
          <w:iCs/>
          <w:kern w:val="1"/>
          <w:lang w:val="ro-RO" w:eastAsia="hi-IN" w:bidi="hi-IN"/>
        </w:rPr>
        <w:t>i a secretului profesional, este util să în</w:t>
      </w:r>
      <w:r>
        <w:rPr>
          <w:bCs/>
          <w:iCs/>
          <w:kern w:val="1"/>
          <w:lang w:val="ro-RO" w:eastAsia="hi-IN" w:bidi="hi-IN"/>
        </w:rPr>
        <w:t>ţ</w:t>
      </w:r>
      <w:r w:rsidRPr="00F5644D">
        <w:rPr>
          <w:bCs/>
          <w:iCs/>
          <w:kern w:val="1"/>
          <w:lang w:val="ro-RO" w:eastAsia="hi-IN" w:bidi="hi-IN"/>
        </w:rPr>
        <w:t>elegem abordarea generală amplă în cazul fiecărui concept</w:t>
      </w:r>
      <w:r w:rsidRPr="00F5644D">
        <w:rPr>
          <w:lang w:val="ro-RO"/>
        </w:rPr>
        <w:t>.</w:t>
      </w:r>
      <w:r w:rsidRPr="00F5644D">
        <w:rPr>
          <w:vertAlign w:val="superscript"/>
          <w:lang w:val="ro-RO"/>
        </w:rPr>
        <w:footnoteReference w:id="9"/>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 xml:space="preserve">Conceptul de privilegiu al profesiei juridice oferă comunicărilor între avocat </w:t>
      </w:r>
      <w:r>
        <w:rPr>
          <w:bCs/>
          <w:iCs/>
          <w:kern w:val="1"/>
          <w:lang w:val="ro-RO" w:eastAsia="hi-IN" w:bidi="hi-IN"/>
        </w:rPr>
        <w:t>ş</w:t>
      </w:r>
      <w:r w:rsidRPr="00F5644D">
        <w:rPr>
          <w:bCs/>
          <w:iCs/>
          <w:kern w:val="1"/>
          <w:lang w:val="ro-RO" w:eastAsia="hi-IN" w:bidi="hi-IN"/>
        </w:rPr>
        <w:t>i client privilegiul confiden</w:t>
      </w:r>
      <w:r>
        <w:rPr>
          <w:bCs/>
          <w:iCs/>
          <w:kern w:val="1"/>
          <w:lang w:val="ro-RO" w:eastAsia="hi-IN" w:bidi="hi-IN"/>
        </w:rPr>
        <w:t>ţ</w:t>
      </w:r>
      <w:r w:rsidRPr="00F5644D">
        <w:rPr>
          <w:bCs/>
          <w:iCs/>
          <w:kern w:val="1"/>
          <w:lang w:val="ro-RO" w:eastAsia="hi-IN" w:bidi="hi-IN"/>
        </w:rPr>
        <w:t>ialită</w:t>
      </w:r>
      <w:r>
        <w:rPr>
          <w:bCs/>
          <w:iCs/>
          <w:kern w:val="1"/>
          <w:lang w:val="ro-RO" w:eastAsia="hi-IN" w:bidi="hi-IN"/>
        </w:rPr>
        <w:t>ţ</w:t>
      </w:r>
      <w:r w:rsidRPr="00F5644D">
        <w:rPr>
          <w:bCs/>
          <w:iCs/>
          <w:kern w:val="1"/>
          <w:lang w:val="ro-RO" w:eastAsia="hi-IN" w:bidi="hi-IN"/>
        </w:rPr>
        <w:t>ii care apar</w:t>
      </w:r>
      <w:r>
        <w:rPr>
          <w:bCs/>
          <w:iCs/>
          <w:kern w:val="1"/>
          <w:lang w:val="ro-RO" w:eastAsia="hi-IN" w:bidi="hi-IN"/>
        </w:rPr>
        <w:t>ţ</w:t>
      </w:r>
      <w:r w:rsidRPr="00F5644D">
        <w:rPr>
          <w:bCs/>
          <w:iCs/>
          <w:kern w:val="1"/>
          <w:lang w:val="ro-RO" w:eastAsia="hi-IN" w:bidi="hi-IN"/>
        </w:rPr>
        <w:t>ine clientului. Din rela</w:t>
      </w:r>
      <w:r>
        <w:rPr>
          <w:bCs/>
          <w:iCs/>
          <w:kern w:val="1"/>
          <w:lang w:val="ro-RO" w:eastAsia="hi-IN" w:bidi="hi-IN"/>
        </w:rPr>
        <w:t>ţ</w:t>
      </w:r>
      <w:r w:rsidRPr="00F5644D">
        <w:rPr>
          <w:bCs/>
          <w:iCs/>
          <w:kern w:val="1"/>
          <w:lang w:val="ro-RO" w:eastAsia="hi-IN" w:bidi="hi-IN"/>
        </w:rPr>
        <w:t>ia avocat-client decurge obliga</w:t>
      </w:r>
      <w:r>
        <w:rPr>
          <w:bCs/>
          <w:iCs/>
          <w:kern w:val="1"/>
          <w:lang w:val="ro-RO" w:eastAsia="hi-IN" w:bidi="hi-IN"/>
        </w:rPr>
        <w:t>ţ</w:t>
      </w:r>
      <w:r w:rsidRPr="00F5644D">
        <w:rPr>
          <w:bCs/>
          <w:iCs/>
          <w:kern w:val="1"/>
          <w:lang w:val="ro-RO" w:eastAsia="hi-IN" w:bidi="hi-IN"/>
        </w:rPr>
        <w:t>ia avocatului de a păstra în condi</w:t>
      </w:r>
      <w:r>
        <w:rPr>
          <w:bCs/>
          <w:iCs/>
          <w:kern w:val="1"/>
          <w:lang w:val="ro-RO" w:eastAsia="hi-IN" w:bidi="hi-IN"/>
        </w:rPr>
        <w:t>ţ</w:t>
      </w:r>
      <w:r w:rsidRPr="00F5644D">
        <w:rPr>
          <w:bCs/>
          <w:iCs/>
          <w:kern w:val="1"/>
          <w:lang w:val="ro-RO" w:eastAsia="hi-IN" w:bidi="hi-IN"/>
        </w:rPr>
        <w:t>ii de confiden</w:t>
      </w:r>
      <w:r>
        <w:rPr>
          <w:bCs/>
          <w:iCs/>
          <w:kern w:val="1"/>
          <w:lang w:val="ro-RO" w:eastAsia="hi-IN" w:bidi="hi-IN"/>
        </w:rPr>
        <w:t>ţ</w:t>
      </w:r>
      <w:r w:rsidRPr="00F5644D">
        <w:rPr>
          <w:bCs/>
          <w:iCs/>
          <w:kern w:val="1"/>
          <w:lang w:val="ro-RO" w:eastAsia="hi-IN" w:bidi="hi-IN"/>
        </w:rPr>
        <w:t xml:space="preserve">ialitate toate comunicările dintre el </w:t>
      </w:r>
      <w:r>
        <w:rPr>
          <w:bCs/>
          <w:iCs/>
          <w:kern w:val="1"/>
          <w:lang w:val="ro-RO" w:eastAsia="hi-IN" w:bidi="hi-IN"/>
        </w:rPr>
        <w:t>ş</w:t>
      </w:r>
      <w:r w:rsidRPr="00F5644D">
        <w:rPr>
          <w:bCs/>
          <w:iCs/>
          <w:kern w:val="1"/>
          <w:lang w:val="ro-RO" w:eastAsia="hi-IN" w:bidi="hi-IN"/>
        </w:rPr>
        <w:t>i client care au legătură cu atribu</w:t>
      </w:r>
      <w:r>
        <w:rPr>
          <w:bCs/>
          <w:iCs/>
          <w:kern w:val="1"/>
          <w:lang w:val="ro-RO" w:eastAsia="hi-IN" w:bidi="hi-IN"/>
        </w:rPr>
        <w:t>ţ</w:t>
      </w:r>
      <w:r w:rsidRPr="00F5644D">
        <w:rPr>
          <w:bCs/>
          <w:iCs/>
          <w:kern w:val="1"/>
          <w:lang w:val="ro-RO" w:eastAsia="hi-IN" w:bidi="hi-IN"/>
        </w:rPr>
        <w:t>iile sale, conform instruc</w:t>
      </w:r>
      <w:r>
        <w:rPr>
          <w:bCs/>
          <w:iCs/>
          <w:kern w:val="1"/>
          <w:lang w:val="ro-RO" w:eastAsia="hi-IN" w:bidi="hi-IN"/>
        </w:rPr>
        <w:t>ţ</w:t>
      </w:r>
      <w:r w:rsidRPr="00F5644D">
        <w:rPr>
          <w:bCs/>
          <w:iCs/>
          <w:kern w:val="1"/>
          <w:lang w:val="ro-RO" w:eastAsia="hi-IN" w:bidi="hi-IN"/>
        </w:rPr>
        <w:t>iunilor primite de la client, cu excep</w:t>
      </w:r>
      <w:r>
        <w:rPr>
          <w:bCs/>
          <w:iCs/>
          <w:kern w:val="1"/>
          <w:lang w:val="ro-RO" w:eastAsia="hi-IN" w:bidi="hi-IN"/>
        </w:rPr>
        <w:t>ţ</w:t>
      </w:r>
      <w:r w:rsidRPr="00F5644D">
        <w:rPr>
          <w:bCs/>
          <w:iCs/>
          <w:kern w:val="1"/>
          <w:lang w:val="ro-RO" w:eastAsia="hi-IN" w:bidi="hi-IN"/>
        </w:rPr>
        <w:t>ia cazului în care clientul renun</w:t>
      </w:r>
      <w:r>
        <w:rPr>
          <w:bCs/>
          <w:iCs/>
          <w:kern w:val="1"/>
          <w:lang w:val="ro-RO" w:eastAsia="hi-IN" w:bidi="hi-IN"/>
        </w:rPr>
        <w:t>ţ</w:t>
      </w:r>
      <w:r w:rsidRPr="00F5644D">
        <w:rPr>
          <w:bCs/>
          <w:iCs/>
          <w:kern w:val="1"/>
          <w:lang w:val="ro-RO" w:eastAsia="hi-IN" w:bidi="hi-IN"/>
        </w:rPr>
        <w:t>ă la această confiden</w:t>
      </w:r>
      <w:r>
        <w:rPr>
          <w:bCs/>
          <w:iCs/>
          <w:kern w:val="1"/>
          <w:lang w:val="ro-RO" w:eastAsia="hi-IN" w:bidi="hi-IN"/>
        </w:rPr>
        <w:t>ţ</w:t>
      </w:r>
      <w:r w:rsidRPr="00F5644D">
        <w:rPr>
          <w:bCs/>
          <w:iCs/>
          <w:kern w:val="1"/>
          <w:lang w:val="ro-RO" w:eastAsia="hi-IN" w:bidi="hi-IN"/>
        </w:rPr>
        <w:t>ialitate. Această obliga</w:t>
      </w:r>
      <w:r>
        <w:rPr>
          <w:bCs/>
          <w:iCs/>
          <w:kern w:val="1"/>
          <w:lang w:val="ro-RO" w:eastAsia="hi-IN" w:bidi="hi-IN"/>
        </w:rPr>
        <w:t>ţ</w:t>
      </w:r>
      <w:r w:rsidRPr="00F5644D">
        <w:rPr>
          <w:bCs/>
          <w:iCs/>
          <w:kern w:val="1"/>
          <w:lang w:val="ro-RO" w:eastAsia="hi-IN" w:bidi="hi-IN"/>
        </w:rPr>
        <w:t>ie civilă devine o obliga</w:t>
      </w:r>
      <w:r>
        <w:rPr>
          <w:bCs/>
          <w:iCs/>
          <w:kern w:val="1"/>
          <w:lang w:val="ro-RO" w:eastAsia="hi-IN" w:bidi="hi-IN"/>
        </w:rPr>
        <w:t>ţ</w:t>
      </w:r>
      <w:r w:rsidRPr="00F5644D">
        <w:rPr>
          <w:bCs/>
          <w:iCs/>
          <w:kern w:val="1"/>
          <w:lang w:val="ro-RO" w:eastAsia="hi-IN" w:bidi="hi-IN"/>
        </w:rPr>
        <w:t>ie deontologică. Cu toate acestea, este important să în</w:t>
      </w:r>
      <w:r>
        <w:rPr>
          <w:bCs/>
          <w:iCs/>
          <w:kern w:val="1"/>
          <w:lang w:val="ro-RO" w:eastAsia="hi-IN" w:bidi="hi-IN"/>
        </w:rPr>
        <w:t>ţ</w:t>
      </w:r>
      <w:r w:rsidRPr="00F5644D">
        <w:rPr>
          <w:bCs/>
          <w:iCs/>
          <w:kern w:val="1"/>
          <w:lang w:val="ro-RO" w:eastAsia="hi-IN" w:bidi="hi-IN"/>
        </w:rPr>
        <w:t>elegem că privilegiul nu se aplică acelor comunicări care nu au legătură cu rela</w:t>
      </w:r>
      <w:r>
        <w:rPr>
          <w:bCs/>
          <w:iCs/>
          <w:kern w:val="1"/>
          <w:lang w:val="ro-RO" w:eastAsia="hi-IN" w:bidi="hi-IN"/>
        </w:rPr>
        <w:t>ţ</w:t>
      </w:r>
      <w:r w:rsidRPr="00F5644D">
        <w:rPr>
          <w:bCs/>
          <w:iCs/>
          <w:kern w:val="1"/>
          <w:lang w:val="ro-RO" w:eastAsia="hi-IN" w:bidi="hi-IN"/>
        </w:rPr>
        <w:t xml:space="preserve">ia dintre client, în calitate de client, </w:t>
      </w:r>
      <w:r>
        <w:rPr>
          <w:bCs/>
          <w:iCs/>
          <w:kern w:val="1"/>
          <w:lang w:val="ro-RO" w:eastAsia="hi-IN" w:bidi="hi-IN"/>
        </w:rPr>
        <w:t>ş</w:t>
      </w:r>
      <w:r w:rsidRPr="00F5644D">
        <w:rPr>
          <w:bCs/>
          <w:iCs/>
          <w:kern w:val="1"/>
          <w:lang w:val="ro-RO" w:eastAsia="hi-IN" w:bidi="hi-IN"/>
        </w:rPr>
        <w:t xml:space="preserve">i avocat, în calitate de avocat al clientului. De exemplu, nu se aplică acelor comunicări dintre o persoană </w:t>
      </w:r>
      <w:r>
        <w:rPr>
          <w:bCs/>
          <w:iCs/>
          <w:kern w:val="1"/>
          <w:lang w:val="ro-RO" w:eastAsia="hi-IN" w:bidi="hi-IN"/>
        </w:rPr>
        <w:t>ş</w:t>
      </w:r>
      <w:r w:rsidRPr="00F5644D">
        <w:rPr>
          <w:bCs/>
          <w:iCs/>
          <w:kern w:val="1"/>
          <w:lang w:val="ro-RO" w:eastAsia="hi-IN" w:bidi="hi-IN"/>
        </w:rPr>
        <w:t>i un avocat care ac</w:t>
      </w:r>
      <w:r>
        <w:rPr>
          <w:bCs/>
          <w:iCs/>
          <w:kern w:val="1"/>
          <w:lang w:val="ro-RO" w:eastAsia="hi-IN" w:bidi="hi-IN"/>
        </w:rPr>
        <w:t>ţ</w:t>
      </w:r>
      <w:r w:rsidRPr="00F5644D">
        <w:rPr>
          <w:bCs/>
          <w:iCs/>
          <w:kern w:val="1"/>
          <w:lang w:val="ro-RO" w:eastAsia="hi-IN" w:bidi="hi-IN"/>
        </w:rPr>
        <w:t>ionează în calitate de avocat al clientului în anumite chestiuni care nu se înscriu în rela</w:t>
      </w:r>
      <w:r>
        <w:rPr>
          <w:bCs/>
          <w:iCs/>
          <w:kern w:val="1"/>
          <w:lang w:val="ro-RO" w:eastAsia="hi-IN" w:bidi="hi-IN"/>
        </w:rPr>
        <w:t>ţ</w:t>
      </w:r>
      <w:r w:rsidRPr="00F5644D">
        <w:rPr>
          <w:bCs/>
          <w:iCs/>
          <w:kern w:val="1"/>
          <w:lang w:val="ro-RO" w:eastAsia="hi-IN" w:bidi="hi-IN"/>
        </w:rPr>
        <w:t>ia profesională. Iată un exemplu clar: un avocat este implicat în apărarea unui client într-o cauză penală, acesta din urmă fiind acuzat de săvâr</w:t>
      </w:r>
      <w:r>
        <w:rPr>
          <w:bCs/>
          <w:iCs/>
          <w:kern w:val="1"/>
          <w:lang w:val="ro-RO" w:eastAsia="hi-IN" w:bidi="hi-IN"/>
        </w:rPr>
        <w:t>ş</w:t>
      </w:r>
      <w:r w:rsidRPr="00F5644D">
        <w:rPr>
          <w:bCs/>
          <w:iCs/>
          <w:kern w:val="1"/>
          <w:lang w:val="ro-RO" w:eastAsia="hi-IN" w:bidi="hi-IN"/>
        </w:rPr>
        <w:t>irea unui jaf la o bancă sau a unui act de terorism, însă, în situa</w:t>
      </w:r>
      <w:r>
        <w:rPr>
          <w:bCs/>
          <w:iCs/>
          <w:kern w:val="1"/>
          <w:lang w:val="ro-RO" w:eastAsia="hi-IN" w:bidi="hi-IN"/>
        </w:rPr>
        <w:t>ţ</w:t>
      </w:r>
      <w:r w:rsidRPr="00F5644D">
        <w:rPr>
          <w:bCs/>
          <w:iCs/>
          <w:kern w:val="1"/>
          <w:lang w:val="ro-RO" w:eastAsia="hi-IN" w:bidi="hi-IN"/>
        </w:rPr>
        <w:t>ia în care avocatul este complicele clientului în ceea ce prive</w:t>
      </w:r>
      <w:r>
        <w:rPr>
          <w:bCs/>
          <w:iCs/>
          <w:kern w:val="1"/>
          <w:lang w:val="ro-RO" w:eastAsia="hi-IN" w:bidi="hi-IN"/>
        </w:rPr>
        <w:t>ş</w:t>
      </w:r>
      <w:r w:rsidRPr="00F5644D">
        <w:rPr>
          <w:bCs/>
          <w:iCs/>
          <w:kern w:val="1"/>
          <w:lang w:val="ro-RO" w:eastAsia="hi-IN" w:bidi="hi-IN"/>
        </w:rPr>
        <w:t>te punerea la cale a jafului sau a actului de terorism, este evident că respectivele comunicări nu pot intra sub inciden</w:t>
      </w:r>
      <w:r>
        <w:rPr>
          <w:bCs/>
          <w:iCs/>
          <w:kern w:val="1"/>
          <w:lang w:val="ro-RO" w:eastAsia="hi-IN" w:bidi="hi-IN"/>
        </w:rPr>
        <w:t>ţ</w:t>
      </w:r>
      <w:r w:rsidRPr="00F5644D">
        <w:rPr>
          <w:bCs/>
          <w:iCs/>
          <w:kern w:val="1"/>
          <w:lang w:val="ro-RO" w:eastAsia="hi-IN" w:bidi="hi-IN"/>
        </w:rPr>
        <w:t>a secretului profesiei juridice. În unele jurisdic</w:t>
      </w:r>
      <w:r>
        <w:rPr>
          <w:bCs/>
          <w:iCs/>
          <w:kern w:val="1"/>
          <w:lang w:val="ro-RO" w:eastAsia="hi-IN" w:bidi="hi-IN"/>
        </w:rPr>
        <w:t>ţ</w:t>
      </w:r>
      <w:r w:rsidRPr="00F5644D">
        <w:rPr>
          <w:bCs/>
          <w:iCs/>
          <w:kern w:val="1"/>
          <w:lang w:val="ro-RO" w:eastAsia="hi-IN" w:bidi="hi-IN"/>
        </w:rPr>
        <w:t>ii de drept comun, această situa</w:t>
      </w:r>
      <w:r>
        <w:rPr>
          <w:bCs/>
          <w:iCs/>
          <w:kern w:val="1"/>
          <w:lang w:val="ro-RO" w:eastAsia="hi-IN" w:bidi="hi-IN"/>
        </w:rPr>
        <w:t>ţ</w:t>
      </w:r>
      <w:r w:rsidRPr="00F5644D">
        <w:rPr>
          <w:bCs/>
          <w:iCs/>
          <w:kern w:val="1"/>
          <w:lang w:val="ro-RO" w:eastAsia="hi-IN" w:bidi="hi-IN"/>
        </w:rPr>
        <w:t>ie este de obicei numită „excep</w:t>
      </w:r>
      <w:r>
        <w:rPr>
          <w:bCs/>
          <w:iCs/>
          <w:kern w:val="1"/>
          <w:lang w:val="ro-RO" w:eastAsia="hi-IN" w:bidi="hi-IN"/>
        </w:rPr>
        <w:t>ţ</w:t>
      </w:r>
      <w:r w:rsidRPr="00F5644D">
        <w:rPr>
          <w:bCs/>
          <w:iCs/>
          <w:kern w:val="1"/>
          <w:lang w:val="ro-RO" w:eastAsia="hi-IN" w:bidi="hi-IN"/>
        </w:rPr>
        <w:t>ie de inechitateˮ, de</w:t>
      </w:r>
      <w:r>
        <w:rPr>
          <w:bCs/>
          <w:iCs/>
          <w:kern w:val="1"/>
          <w:lang w:val="ro-RO" w:eastAsia="hi-IN" w:bidi="hi-IN"/>
        </w:rPr>
        <w:t>ş</w:t>
      </w:r>
      <w:r w:rsidRPr="00F5644D">
        <w:rPr>
          <w:bCs/>
          <w:iCs/>
          <w:kern w:val="1"/>
          <w:lang w:val="ro-RO" w:eastAsia="hi-IN" w:bidi="hi-IN"/>
        </w:rPr>
        <w:t>i este important să men</w:t>
      </w:r>
      <w:r>
        <w:rPr>
          <w:bCs/>
          <w:iCs/>
          <w:kern w:val="1"/>
          <w:lang w:val="ro-RO" w:eastAsia="hi-IN" w:bidi="hi-IN"/>
        </w:rPr>
        <w:t>ţ</w:t>
      </w:r>
      <w:r w:rsidRPr="00F5644D">
        <w:rPr>
          <w:bCs/>
          <w:iCs/>
          <w:kern w:val="1"/>
          <w:lang w:val="ro-RO" w:eastAsia="hi-IN" w:bidi="hi-IN"/>
        </w:rPr>
        <w:t>ionăm că nu este vorba cu adevărat despre o excep</w:t>
      </w:r>
      <w:r>
        <w:rPr>
          <w:bCs/>
          <w:iCs/>
          <w:kern w:val="1"/>
          <w:lang w:val="ro-RO" w:eastAsia="hi-IN" w:bidi="hi-IN"/>
        </w:rPr>
        <w:t>ţ</w:t>
      </w:r>
      <w:r w:rsidRPr="00F5644D">
        <w:rPr>
          <w:bCs/>
          <w:iCs/>
          <w:kern w:val="1"/>
          <w:lang w:val="ro-RO" w:eastAsia="hi-IN" w:bidi="hi-IN"/>
        </w:rPr>
        <w:t>ie: este mai degrabă o chestiune care nu intră de la bun început sub inciden</w:t>
      </w:r>
      <w:r>
        <w:rPr>
          <w:bCs/>
          <w:iCs/>
          <w:kern w:val="1"/>
          <w:lang w:val="ro-RO" w:eastAsia="hi-IN" w:bidi="hi-IN"/>
        </w:rPr>
        <w:t>ţ</w:t>
      </w:r>
      <w:r w:rsidRPr="00F5644D">
        <w:rPr>
          <w:bCs/>
          <w:iCs/>
          <w:kern w:val="1"/>
          <w:lang w:val="ro-RO" w:eastAsia="hi-IN" w:bidi="hi-IN"/>
        </w:rPr>
        <w:t>a privilegiului profesiei juridice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Atunci când baza este secretul profesional, obliga</w:t>
      </w:r>
      <w:r>
        <w:rPr>
          <w:bCs/>
          <w:iCs/>
          <w:kern w:val="1"/>
          <w:lang w:val="ro-RO" w:eastAsia="hi-IN" w:bidi="hi-IN"/>
        </w:rPr>
        <w:t>ţ</w:t>
      </w:r>
      <w:r w:rsidRPr="00F5644D">
        <w:rPr>
          <w:bCs/>
          <w:iCs/>
          <w:kern w:val="1"/>
          <w:lang w:val="ro-RO" w:eastAsia="hi-IN" w:bidi="hi-IN"/>
        </w:rPr>
        <w:t>ia de a păstra confiden</w:t>
      </w:r>
      <w:r>
        <w:rPr>
          <w:bCs/>
          <w:iCs/>
          <w:kern w:val="1"/>
          <w:lang w:val="ro-RO" w:eastAsia="hi-IN" w:bidi="hi-IN"/>
        </w:rPr>
        <w:t>ţ</w:t>
      </w:r>
      <w:r w:rsidRPr="00F5644D">
        <w:rPr>
          <w:bCs/>
          <w:iCs/>
          <w:kern w:val="1"/>
          <w:lang w:val="ro-RO" w:eastAsia="hi-IN" w:bidi="hi-IN"/>
        </w:rPr>
        <w:t>ialitatea comunicărilor este absolută. Este o obliga</w:t>
      </w:r>
      <w:r>
        <w:rPr>
          <w:bCs/>
          <w:iCs/>
          <w:kern w:val="1"/>
          <w:lang w:val="ro-RO" w:eastAsia="hi-IN" w:bidi="hi-IN"/>
        </w:rPr>
        <w:t>ţ</w:t>
      </w:r>
      <w:r w:rsidRPr="00F5644D">
        <w:rPr>
          <w:bCs/>
          <w:iCs/>
          <w:kern w:val="1"/>
          <w:lang w:val="ro-RO" w:eastAsia="hi-IN" w:bidi="hi-IN"/>
        </w:rPr>
        <w:t xml:space="preserve">ie ce îi revine în mod direct avocatului </w:t>
      </w:r>
      <w:r>
        <w:rPr>
          <w:bCs/>
          <w:iCs/>
          <w:kern w:val="1"/>
          <w:lang w:val="ro-RO" w:eastAsia="hi-IN" w:bidi="hi-IN"/>
        </w:rPr>
        <w:t>ş</w:t>
      </w:r>
      <w:r w:rsidRPr="00F5644D">
        <w:rPr>
          <w:bCs/>
          <w:iCs/>
          <w:kern w:val="1"/>
          <w:lang w:val="ro-RO" w:eastAsia="hi-IN" w:bidi="hi-IN"/>
        </w:rPr>
        <w:t>i la care, în majoritatea jurisdic</w:t>
      </w:r>
      <w:r>
        <w:rPr>
          <w:bCs/>
          <w:iCs/>
          <w:kern w:val="1"/>
          <w:lang w:val="ro-RO" w:eastAsia="hi-IN" w:bidi="hi-IN"/>
        </w:rPr>
        <w:t>ţ</w:t>
      </w:r>
      <w:r w:rsidRPr="00F5644D">
        <w:rPr>
          <w:bCs/>
          <w:iCs/>
          <w:kern w:val="1"/>
          <w:lang w:val="ro-RO" w:eastAsia="hi-IN" w:bidi="hi-IN"/>
        </w:rPr>
        <w:t>iilor, clientul nu poate renun</w:t>
      </w:r>
      <w:r>
        <w:rPr>
          <w:bCs/>
          <w:iCs/>
          <w:kern w:val="1"/>
          <w:lang w:val="ro-RO" w:eastAsia="hi-IN" w:bidi="hi-IN"/>
        </w:rPr>
        <w:t>ţ</w:t>
      </w:r>
      <w:r w:rsidRPr="00F5644D">
        <w:rPr>
          <w:bCs/>
          <w:iCs/>
          <w:kern w:val="1"/>
          <w:lang w:val="ro-RO" w:eastAsia="hi-IN" w:bidi="hi-IN"/>
        </w:rPr>
        <w:t>a</w:t>
      </w:r>
      <w:r w:rsidRPr="00F5644D">
        <w:rPr>
          <w:lang w:val="ro-RO"/>
        </w:rPr>
        <w:t xml:space="preserve">. </w:t>
      </w:r>
      <w:r>
        <w:rPr>
          <w:lang w:val="ro-RO"/>
        </w:rPr>
        <w:t>În unele jurisdicţii, secretul profesional are statut constituţional, vizând garantarea drepturilor fundamentale, precum dreptul fundamental la viaţă privată</w:t>
      </w:r>
      <w:r w:rsidRPr="00F5644D">
        <w:rPr>
          <w:lang w:val="ro-RO"/>
        </w:rPr>
        <w:t xml:space="preserve">, </w:t>
      </w:r>
      <w:r>
        <w:rPr>
          <w:lang w:val="ro-RO"/>
        </w:rPr>
        <w:t>dreptul la secretul comunicărilor</w:t>
      </w:r>
      <w:r w:rsidRPr="00F5644D">
        <w:rPr>
          <w:lang w:val="ro-RO"/>
        </w:rPr>
        <w:t xml:space="preserve">, </w:t>
      </w:r>
      <w:r>
        <w:rPr>
          <w:lang w:val="ro-RO"/>
        </w:rPr>
        <w:t>dreptul la apărare şi la un proces echitabil</w:t>
      </w:r>
      <w:r w:rsidRPr="00F5644D">
        <w:rPr>
          <w:lang w:val="ro-RO"/>
        </w:rPr>
        <w:t>. În</w:t>
      </w:r>
      <w:r w:rsidRPr="00F5644D">
        <w:rPr>
          <w:bCs/>
          <w:iCs/>
          <w:kern w:val="1"/>
          <w:lang w:val="ro-RO" w:eastAsia="hi-IN" w:bidi="hi-IN"/>
        </w:rPr>
        <w:t xml:space="preserve"> unele jurisdicţii</w:t>
      </w:r>
      <w:r w:rsidRPr="00F5644D">
        <w:rPr>
          <w:lang w:val="ro-RO"/>
        </w:rPr>
        <w:t xml:space="preserve">, </w:t>
      </w:r>
      <w:r w:rsidRPr="00F5644D">
        <w:rPr>
          <w:bCs/>
          <w:iCs/>
          <w:kern w:val="1"/>
          <w:lang w:val="ro-RO" w:eastAsia="hi-IN" w:bidi="hi-IN"/>
        </w:rPr>
        <w:t>încălcarea secretului profesional de către avocat constituie infrac</w:t>
      </w:r>
      <w:r>
        <w:rPr>
          <w:bCs/>
          <w:iCs/>
          <w:kern w:val="1"/>
          <w:lang w:val="ro-RO" w:eastAsia="hi-IN" w:bidi="hi-IN"/>
        </w:rPr>
        <w:t>ţ</w:t>
      </w:r>
      <w:r w:rsidRPr="00F5644D">
        <w:rPr>
          <w:bCs/>
          <w:iCs/>
          <w:kern w:val="1"/>
          <w:lang w:val="ro-RO" w:eastAsia="hi-IN" w:bidi="hi-IN"/>
        </w:rPr>
        <w:t>iune</w:t>
      </w:r>
      <w:r w:rsidRPr="00F5644D">
        <w:rPr>
          <w:lang w:val="ro-RO"/>
        </w:rPr>
        <w:t>, este legiferată în Codul penal, iar dezvăluirea informa</w:t>
      </w:r>
      <w:r>
        <w:rPr>
          <w:lang w:val="ro-RO"/>
        </w:rPr>
        <w:t>ţ</w:t>
      </w:r>
      <w:r w:rsidRPr="00F5644D">
        <w:rPr>
          <w:lang w:val="ro-RO"/>
        </w:rPr>
        <w:t xml:space="preserve">iilor protejate </w:t>
      </w:r>
      <w:r>
        <w:rPr>
          <w:lang w:val="ro-RO"/>
        </w:rPr>
        <w:t>de</w:t>
      </w:r>
      <w:r w:rsidRPr="00F5644D">
        <w:rPr>
          <w:lang w:val="ro-RO"/>
        </w:rPr>
        <w:t xml:space="preserve"> secretul profesional poate fi </w:t>
      </w:r>
      <w:r>
        <w:rPr>
          <w:lang w:val="ro-RO"/>
        </w:rPr>
        <w:t>sancţionată</w:t>
      </w:r>
      <w:r w:rsidRPr="00F5644D">
        <w:rPr>
          <w:lang w:val="ro-RO"/>
        </w:rPr>
        <w:t xml:space="preserve"> prin pedeapsa cu închisoarea. </w:t>
      </w:r>
      <w:r w:rsidRPr="00F5644D">
        <w:rPr>
          <w:bCs/>
          <w:iCs/>
          <w:kern w:val="1"/>
          <w:lang w:val="ro-RO" w:eastAsia="hi-IN" w:bidi="hi-IN"/>
        </w:rPr>
        <w:t>În ciuda acestor diferenţe importante, similaritatea dintre conceptul de secret profesional şi cel de privilegiu al profesiei juridice constă în faptul că acestea nu se aplică într-o cauză în care avocatul este implicat, împreună cu clientul, în punerea la cale a unei activităţi criminale</w:t>
      </w:r>
      <w:r w:rsidRPr="00F5644D">
        <w:rPr>
          <w:lang w:val="ro-RO"/>
        </w:rPr>
        <w:t>.</w:t>
      </w:r>
    </w:p>
    <w:p w:rsidR="006660B9" w:rsidRPr="00F5644D" w:rsidRDefault="006660B9" w:rsidP="003A16ED">
      <w:pPr>
        <w:pStyle w:val="Bodytext61"/>
        <w:shd w:val="clear" w:color="auto" w:fill="auto"/>
        <w:spacing w:before="240" w:line="276" w:lineRule="auto"/>
        <w:rPr>
          <w:lang w:val="ro-RO"/>
        </w:rPr>
      </w:pPr>
      <w:r w:rsidRPr="00F5644D">
        <w:rPr>
          <w:kern w:val="1"/>
          <w:lang w:val="ro-RO" w:eastAsia="hi-IN" w:bidi="hi-IN"/>
        </w:rPr>
        <w:t>Fără confidenţialitate nu există proces echitabil</w:t>
      </w:r>
      <w:r w:rsidRPr="00F5644D">
        <w:rPr>
          <w:lang w:val="ro-RO"/>
        </w:rPr>
        <w:t xml:space="preserve"> </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 xml:space="preserve">În majoritatea sistemelor juridice se consideră că în cazul în care unui cetăţean i se refuză dreptul de a i se garanta confidenţialitatea, respectiv dreptul de a fi protejat împotriva dezvăluirii comunicărilor pe care le are cu avocatul său, este posibil să i se refuze şi accesul la consiliere juridică şi justiţie. Astfel, secretul profesional </w:t>
      </w:r>
      <w:r>
        <w:rPr>
          <w:bCs/>
          <w:iCs/>
          <w:kern w:val="1"/>
          <w:lang w:val="ro-RO" w:eastAsia="hi-IN" w:bidi="hi-IN"/>
        </w:rPr>
        <w:t>ş</w:t>
      </w:r>
      <w:r w:rsidRPr="00F5644D">
        <w:rPr>
          <w:bCs/>
          <w:iCs/>
          <w:kern w:val="1"/>
          <w:lang w:val="ro-RO" w:eastAsia="hi-IN" w:bidi="hi-IN"/>
        </w:rPr>
        <w:t>i privilegiul profesiei juridice sunt considerate instrumente prin care se poate asigura accesul la justiţie şi menţinerea statului de drept. Într-adevăr</w:t>
      </w:r>
      <w:r w:rsidRPr="00F5644D">
        <w:rPr>
          <w:lang w:val="ro-RO"/>
        </w:rPr>
        <w:t>, CEDO</w:t>
      </w:r>
      <w:r w:rsidRPr="00F5644D">
        <w:rPr>
          <w:bCs/>
          <w:iCs/>
          <w:kern w:val="1"/>
          <w:lang w:val="ro-RO" w:eastAsia="hi-IN" w:bidi="hi-IN"/>
        </w:rPr>
        <w:t xml:space="preserve"> a corelat în mod repetat respectarea secretului profesional </w:t>
      </w:r>
      <w:r>
        <w:rPr>
          <w:bCs/>
          <w:iCs/>
          <w:kern w:val="1"/>
          <w:lang w:val="ro-RO" w:eastAsia="hi-IN" w:bidi="hi-IN"/>
        </w:rPr>
        <w:t>ş</w:t>
      </w:r>
      <w:r w:rsidRPr="00F5644D">
        <w:rPr>
          <w:bCs/>
          <w:iCs/>
          <w:kern w:val="1"/>
          <w:lang w:val="ro-RO" w:eastAsia="hi-IN" w:bidi="hi-IN"/>
        </w:rPr>
        <w:t>i a</w:t>
      </w:r>
      <w:r w:rsidRPr="00F5644D">
        <w:rPr>
          <w:lang w:val="ro-RO"/>
        </w:rPr>
        <w:t xml:space="preserve"> </w:t>
      </w:r>
      <w:r w:rsidRPr="00F5644D">
        <w:rPr>
          <w:bCs/>
          <w:iCs/>
          <w:kern w:val="1"/>
          <w:lang w:val="ro-RO" w:eastAsia="hi-IN" w:bidi="hi-IN"/>
        </w:rPr>
        <w:t>privilegiului profesiei juridice cu respectarea articolelor 6 şi 8 din ECHR</w:t>
      </w:r>
      <w:r w:rsidRPr="00F5644D">
        <w:rPr>
          <w:lang w:val="ro-RO"/>
        </w:rPr>
        <w:t>. Î</w:t>
      </w:r>
      <w:r w:rsidRPr="00F5644D">
        <w:rPr>
          <w:bCs/>
          <w:iCs/>
          <w:kern w:val="1"/>
          <w:lang w:val="ro-RO" w:eastAsia="hi-IN" w:bidi="hi-IN"/>
        </w:rPr>
        <w:t xml:space="preserve">n primul rând, Curtea a considerat că </w:t>
      </w:r>
      <w:r w:rsidRPr="00F5644D">
        <w:rPr>
          <w:rStyle w:val="Bodytext2Italic"/>
          <w:rFonts w:eastAsia="Arial Unicode MS"/>
          <w:lang w:val="ro-RO"/>
        </w:rPr>
        <w:t>“</w:t>
      </w:r>
      <w:r w:rsidRPr="00F5644D">
        <w:rPr>
          <w:bCs/>
          <w:i/>
          <w:iCs/>
          <w:kern w:val="1"/>
          <w:lang w:val="ro-RO" w:eastAsia="hi-IN" w:bidi="hi-IN"/>
        </w:rPr>
        <w:t>dreptul unui acuzat de a comunica cu avocatul său în lipsa oricărei alte persoane face parte din cerinţele de bază ale unui proces echitabil într-o societate democratică şi derivă din articolul 6 alineatul 3 (c) din Convenţie</w:t>
      </w:r>
      <w:r w:rsidRPr="00F5644D">
        <w:rPr>
          <w:rStyle w:val="Bodytext2Italic"/>
          <w:rFonts w:eastAsia="Arial Unicode MS"/>
          <w:lang w:val="ro-RO"/>
        </w:rPr>
        <w:t>”</w:t>
      </w:r>
      <w:r w:rsidRPr="00F5644D">
        <w:rPr>
          <w:i/>
          <w:vertAlign w:val="superscript"/>
          <w:lang w:val="ro-RO"/>
        </w:rPr>
        <w:footnoteReference w:id="10"/>
      </w:r>
      <w:r w:rsidRPr="00F5644D">
        <w:rPr>
          <w:rStyle w:val="Bodytext2Italic"/>
          <w:rFonts w:eastAsia="Arial Unicode MS"/>
          <w:i w:val="0"/>
          <w:lang w:val="ro-RO"/>
        </w:rPr>
        <w:t>.</w:t>
      </w:r>
      <w:r w:rsidRPr="00F5644D">
        <w:rPr>
          <w:lang w:val="ro-RO"/>
        </w:rPr>
        <w:t xml:space="preserve"> </w:t>
      </w:r>
      <w:r w:rsidRPr="00F5644D">
        <w:rPr>
          <w:bCs/>
          <w:iCs/>
          <w:kern w:val="1"/>
          <w:lang w:val="ro-RO" w:eastAsia="hi-IN" w:bidi="hi-IN"/>
        </w:rPr>
        <w:t xml:space="preserve">De asemenea, Curtea a afirmat că </w:t>
      </w:r>
      <w:r w:rsidRPr="00F5644D">
        <w:rPr>
          <w:rStyle w:val="Bodytext2Italic"/>
          <w:rFonts w:eastAsia="Arial Unicode MS"/>
          <w:lang w:val="ro-RO"/>
        </w:rPr>
        <w:t>“</w:t>
      </w:r>
      <w:r w:rsidRPr="00F5644D">
        <w:rPr>
          <w:bCs/>
          <w:i/>
          <w:iCs/>
          <w:kern w:val="1"/>
          <w:lang w:val="ro-RO" w:eastAsia="hi-IN" w:bidi="hi-IN"/>
        </w:rPr>
        <w:t>dreptul oricărei persoane la un proces echitabil</w:t>
      </w:r>
      <w:r w:rsidRPr="00F5644D">
        <w:rPr>
          <w:rStyle w:val="Bodytext2Italic"/>
          <w:rFonts w:eastAsia="Arial Unicode MS"/>
          <w:lang w:val="ro-RO"/>
        </w:rPr>
        <w:t>”</w:t>
      </w:r>
      <w:r w:rsidRPr="00F5644D">
        <w:rPr>
          <w:i/>
          <w:vertAlign w:val="superscript"/>
          <w:lang w:val="ro-RO"/>
        </w:rPr>
        <w:footnoteReference w:id="11"/>
      </w:r>
      <w:r w:rsidRPr="00F5644D">
        <w:rPr>
          <w:i/>
          <w:lang w:val="ro-RO"/>
        </w:rPr>
        <w:t xml:space="preserve"> </w:t>
      </w:r>
      <w:r w:rsidRPr="00F5644D">
        <w:rPr>
          <w:bCs/>
          <w:iCs/>
          <w:kern w:val="1"/>
          <w:lang w:val="ro-RO" w:eastAsia="hi-IN" w:bidi="hi-IN"/>
        </w:rPr>
        <w:t xml:space="preserve">depinde de </w:t>
      </w:r>
      <w:r w:rsidRPr="00F5644D">
        <w:rPr>
          <w:rStyle w:val="Bodytext2Italic"/>
          <w:rFonts w:eastAsia="Arial Unicode MS"/>
          <w:lang w:val="ro-RO"/>
        </w:rPr>
        <w:t>“</w:t>
      </w:r>
      <w:r w:rsidRPr="00F5644D">
        <w:rPr>
          <w:bCs/>
          <w:i/>
          <w:iCs/>
          <w:kern w:val="1"/>
          <w:lang w:val="ro-RO" w:eastAsia="hi-IN" w:bidi="hi-IN"/>
        </w:rPr>
        <w:t>rela</w:t>
      </w:r>
      <w:r>
        <w:rPr>
          <w:bCs/>
          <w:i/>
          <w:iCs/>
          <w:kern w:val="1"/>
          <w:lang w:val="ro-RO" w:eastAsia="hi-IN" w:bidi="hi-IN"/>
        </w:rPr>
        <w:t>ţ</w:t>
      </w:r>
      <w:r w:rsidRPr="00F5644D">
        <w:rPr>
          <w:bCs/>
          <w:i/>
          <w:iCs/>
          <w:kern w:val="1"/>
          <w:lang w:val="ro-RO" w:eastAsia="hi-IN" w:bidi="hi-IN"/>
        </w:rPr>
        <w:t xml:space="preserve">ia de încredere dintre </w:t>
      </w:r>
      <w:r w:rsidRPr="00F5644D">
        <w:rPr>
          <w:rStyle w:val="Bodytext2Italic"/>
          <w:rFonts w:eastAsia="Arial Unicode MS"/>
          <w:lang w:val="ro-RO"/>
        </w:rPr>
        <w:t>[</w:t>
      </w:r>
      <w:r w:rsidRPr="00F5644D">
        <w:rPr>
          <w:bCs/>
          <w:i/>
          <w:iCs/>
          <w:kern w:val="1"/>
          <w:lang w:val="ro-RO" w:eastAsia="hi-IN" w:bidi="hi-IN"/>
        </w:rPr>
        <w:t xml:space="preserve">avocat </w:t>
      </w:r>
      <w:r>
        <w:rPr>
          <w:bCs/>
          <w:i/>
          <w:iCs/>
          <w:kern w:val="1"/>
          <w:lang w:val="ro-RO" w:eastAsia="hi-IN" w:bidi="hi-IN"/>
        </w:rPr>
        <w:t>ş</w:t>
      </w:r>
      <w:r w:rsidRPr="00F5644D">
        <w:rPr>
          <w:bCs/>
          <w:i/>
          <w:iCs/>
          <w:kern w:val="1"/>
          <w:lang w:val="ro-RO" w:eastAsia="hi-IN" w:bidi="hi-IN"/>
        </w:rPr>
        <w:t>i client</w:t>
      </w:r>
      <w:r w:rsidRPr="00F5644D">
        <w:rPr>
          <w:rStyle w:val="Bodytext2Italic"/>
          <w:rFonts w:eastAsia="Arial Unicode MS"/>
          <w:lang w:val="ro-RO"/>
        </w:rPr>
        <w:t xml:space="preserve">]”. </w:t>
      </w:r>
      <w:r w:rsidRPr="00F5644D">
        <w:rPr>
          <w:bCs/>
          <w:iCs/>
          <w:kern w:val="1"/>
          <w:lang w:val="ro-RO" w:eastAsia="hi-IN" w:bidi="hi-IN"/>
        </w:rPr>
        <w:t>În al doilea rând, Curtea a eviden</w:t>
      </w:r>
      <w:r>
        <w:rPr>
          <w:bCs/>
          <w:iCs/>
          <w:kern w:val="1"/>
          <w:lang w:val="ro-RO" w:eastAsia="hi-IN" w:bidi="hi-IN"/>
        </w:rPr>
        <w:t>ţ</w:t>
      </w:r>
      <w:r w:rsidRPr="00F5644D">
        <w:rPr>
          <w:bCs/>
          <w:iCs/>
          <w:kern w:val="1"/>
          <w:lang w:val="ro-RO" w:eastAsia="hi-IN" w:bidi="hi-IN"/>
        </w:rPr>
        <w:t>iat în repetate rânduri că subminarea secretului profesional</w:t>
      </w:r>
      <w:r w:rsidRPr="00F5644D">
        <w:rPr>
          <w:lang w:val="ro-RO"/>
        </w:rPr>
        <w:t xml:space="preserve"> sau a </w:t>
      </w:r>
      <w:r w:rsidRPr="00F5644D">
        <w:rPr>
          <w:bCs/>
          <w:iCs/>
          <w:kern w:val="1"/>
          <w:lang w:val="ro-RO" w:eastAsia="hi-IN" w:bidi="hi-IN"/>
        </w:rPr>
        <w:t>privilegiului profesiei juridice poate reprezenta o încălcare a articolului 8 care protejează dreptul la respectarea vie</w:t>
      </w:r>
      <w:r>
        <w:rPr>
          <w:bCs/>
          <w:iCs/>
          <w:kern w:val="1"/>
          <w:lang w:val="ro-RO" w:eastAsia="hi-IN" w:bidi="hi-IN"/>
        </w:rPr>
        <w:t>ţ</w:t>
      </w:r>
      <w:r w:rsidRPr="00F5644D">
        <w:rPr>
          <w:bCs/>
          <w:iCs/>
          <w:kern w:val="1"/>
          <w:lang w:val="ro-RO" w:eastAsia="hi-IN" w:bidi="hi-IN"/>
        </w:rPr>
        <w:t xml:space="preserve">ii private </w:t>
      </w:r>
      <w:r>
        <w:rPr>
          <w:bCs/>
          <w:iCs/>
          <w:kern w:val="1"/>
          <w:lang w:val="ro-RO" w:eastAsia="hi-IN" w:bidi="hi-IN"/>
        </w:rPr>
        <w:t>ş</w:t>
      </w:r>
      <w:r w:rsidRPr="00F5644D">
        <w:rPr>
          <w:bCs/>
          <w:iCs/>
          <w:kern w:val="1"/>
          <w:lang w:val="ro-RO" w:eastAsia="hi-IN" w:bidi="hi-IN"/>
        </w:rPr>
        <w:t>i de familie. Într-adevăr, articolul</w:t>
      </w:r>
      <w:r w:rsidRPr="00F5644D">
        <w:rPr>
          <w:lang w:val="ro-RO"/>
        </w:rPr>
        <w:t xml:space="preserve"> </w:t>
      </w:r>
      <w:r w:rsidRPr="00F5644D">
        <w:rPr>
          <w:rStyle w:val="Bodytext2Italic"/>
          <w:rFonts w:eastAsia="Arial Unicode MS"/>
          <w:lang w:val="ro-RO"/>
        </w:rPr>
        <w:t>“</w:t>
      </w:r>
      <w:r w:rsidRPr="00F5644D">
        <w:rPr>
          <w:bCs/>
          <w:i/>
          <w:iCs/>
          <w:kern w:val="1"/>
          <w:lang w:val="ro-RO" w:eastAsia="hi-IN" w:bidi="hi-IN"/>
        </w:rPr>
        <w:t>permite o protec</w:t>
      </w:r>
      <w:r>
        <w:rPr>
          <w:bCs/>
          <w:i/>
          <w:iCs/>
          <w:kern w:val="1"/>
          <w:lang w:val="ro-RO" w:eastAsia="hi-IN" w:bidi="hi-IN"/>
        </w:rPr>
        <w:t>ţ</w:t>
      </w:r>
      <w:r w:rsidRPr="00F5644D">
        <w:rPr>
          <w:bCs/>
          <w:i/>
          <w:iCs/>
          <w:kern w:val="1"/>
          <w:lang w:val="ro-RO" w:eastAsia="hi-IN" w:bidi="hi-IN"/>
        </w:rPr>
        <w:t>ie mai puternică a schimburilor de informa</w:t>
      </w:r>
      <w:r>
        <w:rPr>
          <w:bCs/>
          <w:i/>
          <w:iCs/>
          <w:kern w:val="1"/>
          <w:lang w:val="ro-RO" w:eastAsia="hi-IN" w:bidi="hi-IN"/>
        </w:rPr>
        <w:t>ţ</w:t>
      </w:r>
      <w:r w:rsidRPr="00F5644D">
        <w:rPr>
          <w:bCs/>
          <w:i/>
          <w:iCs/>
          <w:kern w:val="1"/>
          <w:lang w:val="ro-RO" w:eastAsia="hi-IN" w:bidi="hi-IN"/>
        </w:rPr>
        <w:t>ii dintre avoca</w:t>
      </w:r>
      <w:r>
        <w:rPr>
          <w:bCs/>
          <w:i/>
          <w:iCs/>
          <w:kern w:val="1"/>
          <w:lang w:val="ro-RO" w:eastAsia="hi-IN" w:bidi="hi-IN"/>
        </w:rPr>
        <w:t>ţ</w:t>
      </w:r>
      <w:r w:rsidRPr="00F5644D">
        <w:rPr>
          <w:bCs/>
          <w:i/>
          <w:iCs/>
          <w:kern w:val="1"/>
          <w:lang w:val="ro-RO" w:eastAsia="hi-IN" w:bidi="hi-IN"/>
        </w:rPr>
        <w:t xml:space="preserve">i </w:t>
      </w:r>
      <w:r>
        <w:rPr>
          <w:bCs/>
          <w:i/>
          <w:iCs/>
          <w:kern w:val="1"/>
          <w:lang w:val="ro-RO" w:eastAsia="hi-IN" w:bidi="hi-IN"/>
        </w:rPr>
        <w:t>ş</w:t>
      </w:r>
      <w:r w:rsidRPr="00F5644D">
        <w:rPr>
          <w:bCs/>
          <w:i/>
          <w:iCs/>
          <w:kern w:val="1"/>
          <w:lang w:val="ro-RO" w:eastAsia="hi-IN" w:bidi="hi-IN"/>
        </w:rPr>
        <w:t xml:space="preserve">i </w:t>
      </w:r>
      <w:r>
        <w:rPr>
          <w:bCs/>
          <w:i/>
          <w:iCs/>
          <w:kern w:val="1"/>
          <w:lang w:val="ro-RO" w:eastAsia="hi-IN" w:bidi="hi-IN"/>
        </w:rPr>
        <w:t>clienţii acestora</w:t>
      </w:r>
      <w:r w:rsidRPr="00F5644D">
        <w:rPr>
          <w:i/>
          <w:vertAlign w:val="superscript"/>
          <w:lang w:val="ro-RO"/>
        </w:rPr>
        <w:footnoteReference w:id="12"/>
      </w:r>
      <w:r w:rsidRPr="00F5644D">
        <w:rPr>
          <w:rStyle w:val="Bodytext2Italic"/>
          <w:rFonts w:eastAsia="Arial Unicode MS"/>
          <w:lang w:val="ro-RO"/>
        </w:rPr>
        <w:t>".</w:t>
      </w:r>
      <w:r w:rsidRPr="00F5644D">
        <w:rPr>
          <w:lang w:val="ro-RO"/>
        </w:rPr>
        <w:t xml:space="preserve"> Curtea continuă: </w:t>
      </w:r>
      <w:r w:rsidRPr="00F5644D">
        <w:rPr>
          <w:rStyle w:val="Bodytext2Italic"/>
          <w:rFonts w:eastAsia="Arial Unicode MS"/>
          <w:lang w:val="ro-RO"/>
        </w:rPr>
        <w:t>“</w:t>
      </w:r>
      <w:r w:rsidRPr="00F5644D">
        <w:rPr>
          <w:bCs/>
          <w:i/>
          <w:iCs/>
          <w:kern w:val="1"/>
          <w:lang w:val="ro-RO" w:eastAsia="hi-IN" w:bidi="hi-IN"/>
        </w:rPr>
        <w:t>acest lucru este justificat prin faptul că avocaţilor li se atribuie un rol fundamental într-o societate democratică, acela de a apăra părţile la litigiu. Cu toate acestea, este imposibil să ducă la îndeplinire această sarcină esenţială dacă nu pot să garanteze celor pe care îi apără că schimburile lor de informaţii vor rămâne confidenţiale</w:t>
      </w:r>
      <w:r w:rsidRPr="00F5644D">
        <w:rPr>
          <w:rStyle w:val="Bodytext2Italic"/>
          <w:rFonts w:eastAsia="Arial Unicode MS"/>
          <w:lang w:val="ro-RO"/>
        </w:rPr>
        <w:t>”</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Mai mult</w:t>
      </w:r>
      <w:r w:rsidRPr="00F5644D">
        <w:rPr>
          <w:lang w:val="ro-RO"/>
        </w:rPr>
        <w:t xml:space="preserve">, </w:t>
      </w:r>
      <w:r>
        <w:rPr>
          <w:lang w:val="ro-RO"/>
        </w:rPr>
        <w:t>în legislaţia UE</w:t>
      </w:r>
      <w:r w:rsidRPr="00F5644D">
        <w:rPr>
          <w:lang w:val="ro-RO"/>
        </w:rPr>
        <w:t xml:space="preserve">, </w:t>
      </w:r>
      <w:r>
        <w:rPr>
          <w:lang w:val="ro-RO"/>
        </w:rPr>
        <w:t>articolul</w:t>
      </w:r>
      <w:r w:rsidRPr="00F5644D">
        <w:rPr>
          <w:lang w:val="ro-RO"/>
        </w:rPr>
        <w:t xml:space="preserve"> 4 </w:t>
      </w:r>
      <w:r>
        <w:rPr>
          <w:lang w:val="ro-RO"/>
        </w:rPr>
        <w:t>al Directivei privind dreptul de a avea acces la un avocat</w:t>
      </w:r>
      <w:r w:rsidRPr="00F5644D">
        <w:rPr>
          <w:lang w:val="ro-RO"/>
        </w:rPr>
        <w:t xml:space="preserve"> </w:t>
      </w:r>
      <w:r>
        <w:rPr>
          <w:lang w:val="ro-RO"/>
        </w:rPr>
        <w:t>(Directiva</w:t>
      </w:r>
      <w:r w:rsidRPr="00F5644D">
        <w:rPr>
          <w:lang w:val="ro-RO"/>
        </w:rPr>
        <w:t xml:space="preserve"> 2013/48/</w:t>
      </w:r>
      <w:r>
        <w:rPr>
          <w:lang w:val="ro-RO"/>
        </w:rPr>
        <w:t>UE</w:t>
      </w:r>
      <w:r w:rsidRPr="00F5644D">
        <w:rPr>
          <w:lang w:val="ro-RO"/>
        </w:rPr>
        <w:t xml:space="preserve">) </w:t>
      </w:r>
      <w:r>
        <w:rPr>
          <w:lang w:val="ro-RO"/>
        </w:rPr>
        <w:t>prevede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w:t>
      </w:r>
      <w:r>
        <w:rPr>
          <w:lang w:val="ro-RO"/>
        </w:rPr>
        <w:t>Statele membre respectă</w:t>
      </w:r>
      <w:r w:rsidRPr="00F5644D">
        <w:rPr>
          <w:lang w:val="ro-RO"/>
        </w:rPr>
        <w:t xml:space="preserve"> </w:t>
      </w:r>
      <w:r>
        <w:rPr>
          <w:lang w:val="ro-RO"/>
        </w:rPr>
        <w:t>confidenţialitatea comunicării dintre</w:t>
      </w:r>
      <w:r w:rsidRPr="00F5644D">
        <w:rPr>
          <w:lang w:val="ro-RO"/>
        </w:rPr>
        <w:t xml:space="preserve"> </w:t>
      </w:r>
      <w:r>
        <w:rPr>
          <w:lang w:val="ro-RO"/>
        </w:rPr>
        <w:t>persoanele suspectate sau acuzate şi avocatul lor în exercitarea dreptului de a avea acces la un avocat prevăzut în prezenta directivă</w:t>
      </w:r>
      <w:r w:rsidRPr="00F5644D">
        <w:rPr>
          <w:lang w:val="ro-RO"/>
        </w:rPr>
        <w:t xml:space="preserve">. </w:t>
      </w:r>
      <w:r>
        <w:rPr>
          <w:lang w:val="ro-RO"/>
        </w:rPr>
        <w:t>O astfel de comunicare include întrevederi, corespondenţă</w:t>
      </w:r>
      <w:r w:rsidRPr="00F5644D">
        <w:rPr>
          <w:lang w:val="ro-RO"/>
        </w:rPr>
        <w:t xml:space="preserve">, </w:t>
      </w:r>
      <w:r>
        <w:rPr>
          <w:lang w:val="ro-RO"/>
        </w:rPr>
        <w:t>conversaţii telefonice şi alte forme de comunicare</w:t>
      </w:r>
      <w:r w:rsidRPr="00F5644D">
        <w:rPr>
          <w:lang w:val="ro-RO"/>
        </w:rPr>
        <w:t xml:space="preserve"> </w:t>
      </w:r>
      <w:r>
        <w:rPr>
          <w:lang w:val="ro-RO"/>
        </w:rPr>
        <w:t>permise în temeiul dreptului intern</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Trebuie evidenţiat faptul că obligaţia statelor membre de a respecta confidenţialitatea este una absolută</w:t>
      </w:r>
      <w:r w:rsidRPr="00F5644D">
        <w:rPr>
          <w:lang w:val="ro-RO"/>
        </w:rPr>
        <w:t xml:space="preserve">. </w:t>
      </w:r>
      <w:r>
        <w:rPr>
          <w:lang w:val="ro-RO"/>
        </w:rPr>
        <w:t>Deşi domeniul de aplicare al directivei este limitat la dreptul penal</w:t>
      </w:r>
      <w:r w:rsidRPr="00F5644D">
        <w:rPr>
          <w:lang w:val="ro-RO"/>
        </w:rPr>
        <w:t xml:space="preserve">, </w:t>
      </w:r>
      <w:r>
        <w:rPr>
          <w:lang w:val="ro-RO"/>
        </w:rPr>
        <w:t>articolul</w:t>
      </w:r>
      <w:r w:rsidRPr="00F5644D">
        <w:rPr>
          <w:lang w:val="ro-RO"/>
        </w:rPr>
        <w:t xml:space="preserve"> 4 </w:t>
      </w:r>
      <w:r>
        <w:rPr>
          <w:lang w:val="ro-RO"/>
        </w:rPr>
        <w:t>reflectă principiul inviolabilităţii secretului profesional şi privilegiului profesiei juridice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În această privinţă, punctul 34 al Preambulului Directivei</w:t>
      </w:r>
      <w:r w:rsidRPr="00F5644D">
        <w:rPr>
          <w:lang w:val="ro-RO"/>
        </w:rPr>
        <w:t xml:space="preserve"> 2013/48/EU </w:t>
      </w:r>
      <w:r>
        <w:rPr>
          <w:lang w:val="ro-RO"/>
        </w:rPr>
        <w:t>nu este concordant cu termenii clari ai articolului</w:t>
      </w:r>
      <w:r w:rsidRPr="00F5644D">
        <w:rPr>
          <w:lang w:val="ro-RO"/>
        </w:rPr>
        <w:t xml:space="preserve"> 4, </w:t>
      </w:r>
      <w:r>
        <w:rPr>
          <w:lang w:val="ro-RO"/>
        </w:rPr>
        <w:t>citat mai sus</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Pr>
          <w:rStyle w:val="Bodytext3NotItalic"/>
          <w:rFonts w:eastAsia="Arial Unicode MS"/>
          <w:lang w:val="ro-RO"/>
        </w:rPr>
        <w:t>În special,</w:t>
      </w:r>
      <w:r w:rsidRPr="00F5644D">
        <w:rPr>
          <w:rStyle w:val="Bodytext3NotItalic"/>
          <w:rFonts w:eastAsia="Arial Unicode MS"/>
          <w:lang w:val="ro-RO"/>
        </w:rPr>
        <w:t xml:space="preserve"> </w:t>
      </w:r>
      <w:r w:rsidRPr="00945125">
        <w:rPr>
          <w:i w:val="0"/>
          <w:lang w:val="ro-RO"/>
        </w:rPr>
        <w:t>punctul 34 al Preambulului</w:t>
      </w:r>
      <w:r>
        <w:rPr>
          <w:i w:val="0"/>
          <w:lang w:val="ro-RO"/>
        </w:rPr>
        <w:t xml:space="preserve"> afirmă</w:t>
      </w:r>
      <w:r>
        <w:rPr>
          <w:lang w:val="ro-RO"/>
        </w:rPr>
        <w:t xml:space="preserve"> </w:t>
      </w:r>
      <w:r w:rsidRPr="00F5644D">
        <w:rPr>
          <w:lang w:val="ro-RO"/>
        </w:rPr>
        <w:t>“</w:t>
      </w:r>
      <w:r>
        <w:rPr>
          <w:lang w:val="ro-RO"/>
        </w:rPr>
        <w:t>Prezenta directivă</w:t>
      </w:r>
      <w:r w:rsidRPr="00F5644D">
        <w:rPr>
          <w:lang w:val="ro-RO"/>
        </w:rPr>
        <w:t xml:space="preserve"> [2013/48/EU] </w:t>
      </w:r>
      <w:r>
        <w:rPr>
          <w:lang w:val="ro-RO"/>
        </w:rPr>
        <w:t>ar trebui să nu se aplice unei încălcări a confidenţialităţii ocazionate de o operaţiune de supraveghere legală de către autorităţile competente</w:t>
      </w:r>
      <w:r w:rsidRPr="00F5644D">
        <w:rPr>
          <w:lang w:val="ro-RO"/>
        </w:rPr>
        <w:t xml:space="preserve">. </w:t>
      </w:r>
      <w:r>
        <w:rPr>
          <w:lang w:val="ro-RO"/>
        </w:rPr>
        <w:t>De asemenea, prezenta directivă ar trebui să nu aducă atingere</w:t>
      </w:r>
      <w:r w:rsidRPr="00F5644D">
        <w:rPr>
          <w:lang w:val="ro-RO"/>
        </w:rPr>
        <w:t xml:space="preserve"> </w:t>
      </w:r>
      <w:r>
        <w:rPr>
          <w:lang w:val="ro-RO"/>
        </w:rPr>
        <w:t>activităţii care este desfăşurată</w:t>
      </w:r>
      <w:r w:rsidRPr="00F5644D">
        <w:rPr>
          <w:lang w:val="ro-RO"/>
        </w:rPr>
        <w:t xml:space="preserve">, </w:t>
      </w:r>
      <w:r>
        <w:rPr>
          <w:lang w:val="ro-RO"/>
        </w:rPr>
        <w:t>de exemplu</w:t>
      </w:r>
      <w:r w:rsidRPr="00F5644D">
        <w:rPr>
          <w:lang w:val="ro-RO"/>
        </w:rPr>
        <w:t xml:space="preserve">, </w:t>
      </w:r>
      <w:r>
        <w:rPr>
          <w:lang w:val="ro-RO"/>
        </w:rPr>
        <w:t>de către serviciile naţionale de securitate cu scopul de a proteja securitatea naţională, în conformitate cu articolul 4, alineatul (2) din Tratatul privind Uniunea Europeană</w:t>
      </w:r>
      <w:r w:rsidRPr="00F5644D">
        <w:rPr>
          <w:lang w:val="ro-RO"/>
        </w:rPr>
        <w:t xml:space="preserve"> (</w:t>
      </w:r>
      <w:r>
        <w:rPr>
          <w:lang w:val="ro-RO"/>
        </w:rPr>
        <w:t>TUE</w:t>
      </w:r>
      <w:r w:rsidRPr="00F5644D">
        <w:rPr>
          <w:lang w:val="ro-RO"/>
        </w:rPr>
        <w:t xml:space="preserve">) </w:t>
      </w:r>
      <w:r>
        <w:rPr>
          <w:lang w:val="ro-RO"/>
        </w:rPr>
        <w:t xml:space="preserve">sau care intră sub incidenţa articolului </w:t>
      </w:r>
      <w:r w:rsidRPr="00F5644D">
        <w:rPr>
          <w:lang w:val="ro-RO"/>
        </w:rPr>
        <w:t xml:space="preserve">72 </w:t>
      </w:r>
      <w:r>
        <w:rPr>
          <w:lang w:val="ro-RO"/>
        </w:rPr>
        <w:t>din TFUE</w:t>
      </w:r>
      <w:r w:rsidRPr="00F5644D">
        <w:rPr>
          <w:lang w:val="ro-RO"/>
        </w:rPr>
        <w:t xml:space="preserve">, </w:t>
      </w:r>
      <w:r>
        <w:rPr>
          <w:lang w:val="ro-RO"/>
        </w:rPr>
        <w:t>care prevede că titlul</w:t>
      </w:r>
      <w:r w:rsidRPr="00F5644D">
        <w:rPr>
          <w:lang w:val="ro-RO"/>
        </w:rPr>
        <w:t xml:space="preserve"> V </w:t>
      </w:r>
      <w:r>
        <w:rPr>
          <w:lang w:val="ro-RO"/>
        </w:rPr>
        <w:t>privind spaţiul de libertate, securitate şi justiţie nu aduce atingere exercitării responsabilităţilor care revin statelor membre pentru menţinerea ordinii publice şi pentru apărarea securităţii interne</w:t>
      </w:r>
      <w:r w:rsidRPr="00F5644D">
        <w:rPr>
          <w:rStyle w:val="Bodytext3NotItalic"/>
          <w:rFonts w:eastAsia="Arial Unicode MS"/>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Dimpotrivă</w:t>
      </w:r>
      <w:r w:rsidRPr="00F5644D">
        <w:rPr>
          <w:lang w:val="ro-RO"/>
        </w:rPr>
        <w:t xml:space="preserve">, </w:t>
      </w:r>
      <w:r>
        <w:rPr>
          <w:lang w:val="ro-RO"/>
        </w:rPr>
        <w:t xml:space="preserve">prevederile Directivei </w:t>
      </w:r>
      <w:r w:rsidRPr="00F5644D">
        <w:rPr>
          <w:lang w:val="ro-RO"/>
        </w:rPr>
        <w:t>2013/48/</w:t>
      </w:r>
      <w:r>
        <w:rPr>
          <w:lang w:val="ro-RO"/>
        </w:rPr>
        <w:t>UE</w:t>
      </w:r>
      <w:r w:rsidRPr="00F5644D">
        <w:rPr>
          <w:lang w:val="ro-RO"/>
        </w:rPr>
        <w:t xml:space="preserve"> </w:t>
      </w:r>
      <w:r>
        <w:rPr>
          <w:lang w:val="ro-RO"/>
        </w:rPr>
        <w:t>permit derogarea temporară</w:t>
      </w:r>
      <w:r w:rsidRPr="00F5644D">
        <w:rPr>
          <w:lang w:val="ro-RO"/>
        </w:rPr>
        <w:t xml:space="preserve"> </w:t>
      </w:r>
      <w:r>
        <w:rPr>
          <w:lang w:val="ro-RO"/>
        </w:rPr>
        <w:t>numai în articolul</w:t>
      </w:r>
      <w:r w:rsidRPr="00F5644D">
        <w:rPr>
          <w:lang w:val="ro-RO"/>
        </w:rPr>
        <w:t xml:space="preserve"> 3</w:t>
      </w:r>
      <w:r>
        <w:rPr>
          <w:lang w:val="ro-RO"/>
        </w:rPr>
        <w:t xml:space="preserve"> alineatele </w:t>
      </w:r>
      <w:r w:rsidRPr="00F5644D">
        <w:rPr>
          <w:lang w:val="ro-RO"/>
        </w:rPr>
        <w:t xml:space="preserve">(5) </w:t>
      </w:r>
      <w:r>
        <w:rPr>
          <w:lang w:val="ro-RO"/>
        </w:rPr>
        <w:t>şi</w:t>
      </w:r>
      <w:r w:rsidRPr="00F5644D">
        <w:rPr>
          <w:lang w:val="ro-RO"/>
        </w:rPr>
        <w:t xml:space="preserve"> (6) </w:t>
      </w:r>
      <w:r>
        <w:rPr>
          <w:lang w:val="ro-RO"/>
        </w:rPr>
        <w:t>şi în articolul</w:t>
      </w:r>
      <w:r w:rsidRPr="00F5644D">
        <w:rPr>
          <w:lang w:val="ro-RO"/>
        </w:rPr>
        <w:t xml:space="preserve"> 5</w:t>
      </w:r>
      <w:r>
        <w:rPr>
          <w:lang w:val="ro-RO"/>
        </w:rPr>
        <w:t xml:space="preserve"> alineatul </w:t>
      </w:r>
      <w:r w:rsidRPr="00F5644D">
        <w:rPr>
          <w:lang w:val="ro-RO"/>
        </w:rPr>
        <w:t xml:space="preserve">(3). </w:t>
      </w:r>
      <w:r>
        <w:rPr>
          <w:lang w:val="ro-RO"/>
        </w:rPr>
        <w:t>O astfel de derogare temporară se poate face în condiţiile respectării cerinţelor articolului 8 al directivei</w:t>
      </w:r>
      <w:r w:rsidRPr="00F5644D">
        <w:rPr>
          <w:lang w:val="ro-RO"/>
        </w:rPr>
        <w:t xml:space="preserve">. </w:t>
      </w:r>
      <w:r>
        <w:rPr>
          <w:lang w:val="ro-RO"/>
        </w:rPr>
        <w:t>În cazul în care sunt invocate motive care ţin de</w:t>
      </w:r>
      <w:r w:rsidRPr="00F5644D">
        <w:rPr>
          <w:lang w:val="ro-RO"/>
        </w:rPr>
        <w:t xml:space="preserve"> “</w:t>
      </w:r>
      <w:r>
        <w:rPr>
          <w:lang w:val="ro-RO"/>
        </w:rPr>
        <w:t>securitatea naţională</w:t>
      </w:r>
      <w:r w:rsidRPr="00F5644D">
        <w:rPr>
          <w:lang w:val="ro-RO"/>
        </w:rPr>
        <w:t>"</w:t>
      </w:r>
      <w:r>
        <w:rPr>
          <w:lang w:val="ro-RO"/>
        </w:rPr>
        <w:t>, ca excepţie sau justificare</w:t>
      </w:r>
      <w:r w:rsidRPr="00F5644D">
        <w:rPr>
          <w:lang w:val="ro-RO"/>
        </w:rPr>
        <w:t xml:space="preserve"> </w:t>
      </w:r>
      <w:r w:rsidRPr="00F5644D">
        <w:rPr>
          <w:rStyle w:val="Bodytext2Italic"/>
          <w:rFonts w:eastAsia="Arial Unicode MS"/>
          <w:lang w:val="ro-RO"/>
        </w:rPr>
        <w:t>per se,</w:t>
      </w:r>
      <w:r w:rsidRPr="00F5644D">
        <w:rPr>
          <w:lang w:val="ro-RO"/>
        </w:rPr>
        <w:t xml:space="preserve"> </w:t>
      </w:r>
      <w:r>
        <w:rPr>
          <w:lang w:val="ro-RO"/>
        </w:rPr>
        <w:t>această</w:t>
      </w:r>
      <w:r w:rsidRPr="00F5644D">
        <w:rPr>
          <w:lang w:val="ro-RO"/>
        </w:rPr>
        <w:t xml:space="preserve"> “</w:t>
      </w:r>
      <w:r>
        <w:rPr>
          <w:lang w:val="ro-RO"/>
        </w:rPr>
        <w:t>excepţie</w:t>
      </w:r>
      <w:r w:rsidRPr="00F5644D">
        <w:rPr>
          <w:lang w:val="ro-RO"/>
        </w:rPr>
        <w:t>" (</w:t>
      </w:r>
      <w:r>
        <w:rPr>
          <w:lang w:val="ro-RO"/>
        </w:rPr>
        <w:t>în special lipsa unei definiţii clare care să precizeze ce anume constituie</w:t>
      </w:r>
      <w:r w:rsidRPr="00F5644D">
        <w:rPr>
          <w:lang w:val="ro-RO"/>
        </w:rPr>
        <w:t xml:space="preserve"> ‘</w:t>
      </w:r>
      <w:r>
        <w:rPr>
          <w:lang w:val="ro-RO"/>
        </w:rPr>
        <w:t>securitatea naţională</w:t>
      </w:r>
      <w:r w:rsidRPr="00F5644D">
        <w:rPr>
          <w:lang w:val="ro-RO"/>
        </w:rPr>
        <w:t xml:space="preserve">’ </w:t>
      </w:r>
      <w:r>
        <w:rPr>
          <w:lang w:val="ro-RO"/>
        </w:rPr>
        <w:t>în sine</w:t>
      </w:r>
      <w:r w:rsidRPr="00F5644D">
        <w:rPr>
          <w:lang w:val="ro-RO"/>
        </w:rPr>
        <w:t xml:space="preserve">) </w:t>
      </w:r>
      <w:r>
        <w:rPr>
          <w:lang w:val="ro-RO"/>
        </w:rPr>
        <w:t>ar conduce la imposibilitatea persoanelor suspectate sau acuzate de a invoca eficient dreptul la confidenţialitatea comunicării cu avocatul lor</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Prin urmare</w:t>
      </w:r>
      <w:r w:rsidRPr="00F5644D">
        <w:rPr>
          <w:lang w:val="ro-RO"/>
        </w:rPr>
        <w:t xml:space="preserve">, </w:t>
      </w:r>
      <w:r>
        <w:rPr>
          <w:lang w:val="ro-RO"/>
        </w:rPr>
        <w:t>atunci când există un conflict, CJUE ar trebui să prefere termenii clari ai prevederilor articolului</w:t>
      </w:r>
      <w:r w:rsidRPr="00F5644D">
        <w:rPr>
          <w:lang w:val="ro-RO"/>
        </w:rPr>
        <w:t xml:space="preserve"> 4 </w:t>
      </w:r>
      <w:r>
        <w:rPr>
          <w:lang w:val="ro-RO"/>
        </w:rPr>
        <w:t>al Directivei</w:t>
      </w:r>
      <w:r w:rsidRPr="00F5644D">
        <w:rPr>
          <w:lang w:val="ro-RO"/>
        </w:rPr>
        <w:t xml:space="preserve"> 2013/48/</w:t>
      </w:r>
      <w:r>
        <w:rPr>
          <w:lang w:val="ro-RO"/>
        </w:rPr>
        <w:t>UE</w:t>
      </w:r>
      <w:r w:rsidRPr="00F5644D">
        <w:rPr>
          <w:lang w:val="ro-RO"/>
        </w:rPr>
        <w:t>.</w:t>
      </w:r>
      <w:r w:rsidRPr="00F5644D">
        <w:rPr>
          <w:vertAlign w:val="superscript"/>
          <w:lang w:val="ro-RO"/>
        </w:rPr>
        <w:t xml:space="preserve"> </w:t>
      </w:r>
    </w:p>
    <w:p w:rsidR="006660B9" w:rsidRPr="00F5644D" w:rsidRDefault="006660B9" w:rsidP="003A16ED">
      <w:pPr>
        <w:pStyle w:val="Bodytext61"/>
        <w:shd w:val="clear" w:color="auto" w:fill="auto"/>
        <w:spacing w:before="240" w:line="276" w:lineRule="auto"/>
        <w:rPr>
          <w:lang w:val="ro-RO"/>
        </w:rPr>
      </w:pPr>
      <w:r w:rsidRPr="00F5644D">
        <w:rPr>
          <w:kern w:val="1"/>
          <w:lang w:val="ro-RO" w:eastAsia="hi-IN" w:bidi="hi-IN"/>
        </w:rPr>
        <w:t>Jurisprudenţă</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Curţile europene, atât cea din Luxemburg, cât cea din Strasbourg, au o jurispruden</w:t>
      </w:r>
      <w:r>
        <w:rPr>
          <w:bCs/>
          <w:iCs/>
          <w:kern w:val="1"/>
          <w:lang w:val="ro-RO" w:eastAsia="hi-IN" w:bidi="hi-IN"/>
        </w:rPr>
        <w:t>ţ</w:t>
      </w:r>
      <w:r w:rsidRPr="00F5644D">
        <w:rPr>
          <w:bCs/>
          <w:iCs/>
          <w:kern w:val="1"/>
          <w:lang w:val="ro-RO" w:eastAsia="hi-IN" w:bidi="hi-IN"/>
        </w:rPr>
        <w:t xml:space="preserve">ă vastă referitoare la secretul profesional </w:t>
      </w:r>
      <w:r>
        <w:rPr>
          <w:bCs/>
          <w:iCs/>
          <w:kern w:val="1"/>
          <w:lang w:val="ro-RO" w:eastAsia="hi-IN" w:bidi="hi-IN"/>
        </w:rPr>
        <w:t>ş</w:t>
      </w:r>
      <w:r w:rsidRPr="00F5644D">
        <w:rPr>
          <w:bCs/>
          <w:iCs/>
          <w:kern w:val="1"/>
          <w:lang w:val="ro-RO" w:eastAsia="hi-IN" w:bidi="hi-IN"/>
        </w:rPr>
        <w:t>i la privilegiul profesiei juridice în care este eviden</w:t>
      </w:r>
      <w:r>
        <w:rPr>
          <w:bCs/>
          <w:iCs/>
          <w:kern w:val="1"/>
          <w:lang w:val="ro-RO" w:eastAsia="hi-IN" w:bidi="hi-IN"/>
        </w:rPr>
        <w:t>ţ</w:t>
      </w:r>
      <w:r w:rsidRPr="00F5644D">
        <w:rPr>
          <w:bCs/>
          <w:iCs/>
          <w:kern w:val="1"/>
          <w:lang w:val="ro-RO" w:eastAsia="hi-IN" w:bidi="hi-IN"/>
        </w:rPr>
        <w:t>iată importanţa acestor principii</w:t>
      </w:r>
      <w:r w:rsidRPr="00F5644D">
        <w:rPr>
          <w:lang w:val="ro-RO"/>
        </w:rPr>
        <w:t xml:space="preserve">. </w:t>
      </w:r>
      <w:r w:rsidRPr="00F5644D">
        <w:rPr>
          <w:bCs/>
          <w:iCs/>
          <w:kern w:val="1"/>
          <w:lang w:val="ro-RO" w:eastAsia="hi-IN" w:bidi="hi-IN"/>
        </w:rPr>
        <w:t xml:space="preserve">Secretul profesional </w:t>
      </w:r>
      <w:r>
        <w:rPr>
          <w:bCs/>
          <w:iCs/>
          <w:kern w:val="1"/>
          <w:lang w:val="ro-RO" w:eastAsia="hi-IN" w:bidi="hi-IN"/>
        </w:rPr>
        <w:t>ş</w:t>
      </w:r>
      <w:r w:rsidRPr="00F5644D">
        <w:rPr>
          <w:bCs/>
          <w:iCs/>
          <w:kern w:val="1"/>
          <w:lang w:val="ro-RO" w:eastAsia="hi-IN" w:bidi="hi-IN"/>
        </w:rPr>
        <w:t>i privilegiul profesiei juridice sunt consacrate şi în instrumentele juridice europene</w:t>
      </w:r>
      <w:r w:rsidRPr="00F5644D">
        <w:rPr>
          <w:lang w:val="ro-RO"/>
        </w:rPr>
        <w:t xml:space="preserve">. </w:t>
      </w:r>
      <w:r w:rsidRPr="00F5644D">
        <w:rPr>
          <w:bCs/>
          <w:iCs/>
          <w:kern w:val="1"/>
          <w:lang w:val="ro-RO" w:eastAsia="hi-IN" w:bidi="hi-IN"/>
        </w:rPr>
        <w:t xml:space="preserve">În plus, toate statele membre ale Uniunii Europene recunosc faptul că secretul profesional sau privilegiul profesiei juridice </w:t>
      </w:r>
      <w:r w:rsidRPr="00F5644D">
        <w:rPr>
          <w:lang w:val="ro-RO"/>
        </w:rPr>
        <w:t>reprezintă</w:t>
      </w:r>
      <w:r w:rsidRPr="00F5644D">
        <w:rPr>
          <w:bCs/>
          <w:iCs/>
          <w:kern w:val="1"/>
          <w:lang w:val="ro-RO" w:eastAsia="hi-IN" w:bidi="hi-IN"/>
        </w:rPr>
        <w:t xml:space="preserve"> unul dintre obiectivele majore şi principiile de reglementare ale profesiei juridice, iar încălcarea acestora</w:t>
      </w:r>
      <w:r w:rsidRPr="00F5644D">
        <w:rPr>
          <w:lang w:val="ro-RO"/>
        </w:rPr>
        <w:t xml:space="preserve"> </w:t>
      </w:r>
      <w:r w:rsidRPr="00F5644D">
        <w:rPr>
          <w:bCs/>
          <w:iCs/>
          <w:kern w:val="1"/>
          <w:lang w:val="ro-RO" w:eastAsia="hi-IN" w:bidi="hi-IN"/>
        </w:rPr>
        <w:t>reprezintă în unele state membre ale UE nu doar o încălcare a unei obligaţii profesionale, ci şi o infracţiune</w:t>
      </w:r>
      <w:r w:rsidRPr="00F5644D">
        <w:rPr>
          <w:lang w:val="ro-RO"/>
        </w:rPr>
        <w:t xml:space="preserve">. </w:t>
      </w:r>
      <w:r w:rsidRPr="00F5644D">
        <w:rPr>
          <w:bCs/>
          <w:iCs/>
          <w:kern w:val="1"/>
          <w:lang w:val="ro-RO" w:eastAsia="hi-IN" w:bidi="hi-IN"/>
        </w:rPr>
        <w:t xml:space="preserve">În plus, în Carta principiilor de bază ale avocatului european, Codul deontologic al avocatului european şi multe alte documente, CCBE prevede că secretul profesional </w:t>
      </w:r>
      <w:r>
        <w:rPr>
          <w:bCs/>
          <w:iCs/>
          <w:kern w:val="1"/>
          <w:lang w:val="ro-RO" w:eastAsia="hi-IN" w:bidi="hi-IN"/>
        </w:rPr>
        <w:t>ş</w:t>
      </w:r>
      <w:r w:rsidRPr="00F5644D">
        <w:rPr>
          <w:bCs/>
          <w:iCs/>
          <w:kern w:val="1"/>
          <w:lang w:val="ro-RO" w:eastAsia="hi-IN" w:bidi="hi-IN"/>
        </w:rPr>
        <w:t>i privilegiul profesiei juridice se numără printre valorile fundamentale ale profesiei de avocat în Europa</w:t>
      </w:r>
      <w:r w:rsidRPr="00F5644D">
        <w:rPr>
          <w:lang w:val="ro-RO"/>
        </w:rPr>
        <w:t xml:space="preserve">. </w:t>
      </w:r>
      <w:r w:rsidRPr="00F5644D">
        <w:rPr>
          <w:bCs/>
          <w:iCs/>
          <w:kern w:val="1"/>
          <w:lang w:val="ro-RO" w:eastAsia="hi-IN" w:bidi="hi-IN"/>
        </w:rPr>
        <w:t>Mai jos sunt prezentate mai detaliat deciziile esenţiale ale instanţelor europene, instrumentele juridice europene relevante, precum şi propriile documente ale CCBE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bCs/>
          <w:kern w:val="1"/>
          <w:lang w:val="ro-RO" w:eastAsia="hi-IN" w:bidi="hi-IN"/>
        </w:rPr>
        <w:t xml:space="preserve">Curtea de Justiţie a Uniunii Europene: speţa AM&amp;S </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 xml:space="preserve">În speţa </w:t>
      </w:r>
      <w:r>
        <w:rPr>
          <w:bCs/>
          <w:i/>
          <w:iCs/>
          <w:kern w:val="1"/>
          <w:lang w:val="ro-RO" w:eastAsia="hi-IN" w:bidi="hi-IN"/>
        </w:rPr>
        <w:t xml:space="preserve">AM&amp;S împotriva </w:t>
      </w:r>
      <w:r w:rsidRPr="00F5644D">
        <w:rPr>
          <w:bCs/>
          <w:i/>
          <w:iCs/>
          <w:kern w:val="1"/>
          <w:lang w:val="ro-RO" w:eastAsia="hi-IN" w:bidi="hi-IN"/>
        </w:rPr>
        <w:t>Comisi</w:t>
      </w:r>
      <w:r>
        <w:rPr>
          <w:bCs/>
          <w:i/>
          <w:iCs/>
          <w:kern w:val="1"/>
          <w:lang w:val="ro-RO" w:eastAsia="hi-IN" w:bidi="hi-IN"/>
        </w:rPr>
        <w:t>ei</w:t>
      </w:r>
      <w:r w:rsidRPr="00F5644D">
        <w:rPr>
          <w:bCs/>
          <w:iCs/>
          <w:kern w:val="1"/>
          <w:lang w:val="ro-RO" w:eastAsia="hi-IN" w:bidi="hi-IN"/>
        </w:rPr>
        <w:t>, Curtea de Justiţie a Uniunii Europene (CJUE) a recunoscut că păstrarea confidenţialităţii în legătură cu anumite comunicări între avocat şi client constituie un principiu general de drept, comun legisla</w:t>
      </w:r>
      <w:r>
        <w:rPr>
          <w:bCs/>
          <w:iCs/>
          <w:kern w:val="1"/>
          <w:lang w:val="ro-RO" w:eastAsia="hi-IN" w:bidi="hi-IN"/>
        </w:rPr>
        <w:t>ţ</w:t>
      </w:r>
      <w:r w:rsidRPr="00F5644D">
        <w:rPr>
          <w:bCs/>
          <w:iCs/>
          <w:kern w:val="1"/>
          <w:lang w:val="ro-RO" w:eastAsia="hi-IN" w:bidi="hi-IN"/>
        </w:rPr>
        <w:t xml:space="preserve">iilor tuturor statelor membre şi, prin urmare, un drept fundamental protejat de </w:t>
      </w:r>
      <w:r w:rsidRPr="00F5644D">
        <w:rPr>
          <w:kern w:val="1"/>
          <w:lang w:val="ro-RO" w:eastAsia="hi-IN" w:bidi="hi-IN"/>
        </w:rPr>
        <w:t>legislaţia comunitară</w:t>
      </w:r>
      <w:r w:rsidRPr="00F5644D">
        <w:rPr>
          <w:lang w:val="ro-RO"/>
        </w:rPr>
        <w:t>.</w:t>
      </w:r>
      <w:r w:rsidRPr="00F5644D">
        <w:rPr>
          <w:vertAlign w:val="superscript"/>
          <w:lang w:val="ro-RO"/>
        </w:rPr>
        <w:footnoteReference w:id="13"/>
      </w:r>
      <w:r w:rsidRPr="00F5644D">
        <w:rPr>
          <w:lang w:val="ro-RO"/>
        </w:rPr>
        <w:t xml:space="preserve"> </w:t>
      </w:r>
      <w:r w:rsidRPr="00F5644D">
        <w:rPr>
          <w:kern w:val="1"/>
          <w:lang w:val="ro-RO" w:eastAsia="hi-IN" w:bidi="hi-IN"/>
        </w:rPr>
        <w:t xml:space="preserve">Curtea a afirmat că </w:t>
      </w:r>
      <w:r w:rsidRPr="00F5644D">
        <w:rPr>
          <w:rStyle w:val="Bodytext2Italic"/>
          <w:rFonts w:eastAsia="Arial Unicode MS"/>
          <w:lang w:val="ro-RO"/>
        </w:rPr>
        <w:t>“</w:t>
      </w:r>
      <w:r w:rsidRPr="00F5644D">
        <w:rPr>
          <w:i/>
          <w:iCs/>
          <w:kern w:val="1"/>
          <w:lang w:val="ro-RO" w:eastAsia="hi-IN" w:bidi="hi-IN"/>
        </w:rPr>
        <w:t>orice persoană trebuie aibă posibilitatea, fără nicio constrângere, de a consulta un avocat a cărui profesie presupune acordarea de consiliere juridică independentă tuturor celor care au nevoie de aceasta</w:t>
      </w:r>
      <w:r w:rsidRPr="00F5644D">
        <w:rPr>
          <w:kern w:val="1"/>
          <w:lang w:val="ro-RO" w:eastAsia="hi-IN" w:bidi="hi-IN"/>
        </w:rPr>
        <w:t>”, şi că, prin urmare, confidenţialitatea anumitor comunicări între avocat şi client trebuie protejată</w:t>
      </w:r>
      <w:r w:rsidRPr="00F5644D">
        <w:rPr>
          <w:lang w:val="ro-RO"/>
        </w:rPr>
        <w:t>.</w:t>
      </w:r>
      <w:r w:rsidRPr="00F5644D">
        <w:rPr>
          <w:vertAlign w:val="superscript"/>
          <w:lang w:val="ro-RO"/>
        </w:rPr>
        <w:footnoteReference w:id="14"/>
      </w:r>
      <w:r w:rsidRPr="00F5644D">
        <w:rPr>
          <w:lang w:val="ro-RO"/>
        </w:rPr>
        <w:t xml:space="preserve"> Privilegiul profesiei juridice </w:t>
      </w:r>
      <w:r>
        <w:rPr>
          <w:lang w:val="ro-RO"/>
        </w:rPr>
        <w:t>ş</w:t>
      </w:r>
      <w:r w:rsidRPr="00F5644D">
        <w:rPr>
          <w:lang w:val="ro-RO"/>
        </w:rPr>
        <w:t xml:space="preserve">i secretul profesional pot fi invocate </w:t>
      </w:r>
      <w:r w:rsidRPr="00F5644D">
        <w:rPr>
          <w:kern w:val="1"/>
          <w:lang w:val="ro-RO" w:eastAsia="hi-IN" w:bidi="hi-IN"/>
        </w:rPr>
        <w:t xml:space="preserve">nu doar </w:t>
      </w:r>
      <w:r w:rsidRPr="00F5644D">
        <w:rPr>
          <w:bCs/>
          <w:iCs/>
          <w:kern w:val="1"/>
          <w:lang w:val="ro-RO" w:eastAsia="hi-IN" w:bidi="hi-IN"/>
        </w:rPr>
        <w:t>de persoanele fizice, ci şi de companiile care ar putea face obiectul unei investiga</w:t>
      </w:r>
      <w:r>
        <w:rPr>
          <w:bCs/>
          <w:iCs/>
          <w:kern w:val="1"/>
          <w:lang w:val="ro-RO" w:eastAsia="hi-IN" w:bidi="hi-IN"/>
        </w:rPr>
        <w:t>ţ</w:t>
      </w:r>
      <w:r w:rsidRPr="00F5644D">
        <w:rPr>
          <w:bCs/>
          <w:iCs/>
          <w:kern w:val="1"/>
          <w:lang w:val="ro-RO" w:eastAsia="hi-IN" w:bidi="hi-IN"/>
        </w:rPr>
        <w:t>ii a Comisiei, indiferent de statutul juridic al acestora</w:t>
      </w:r>
      <w:r w:rsidRPr="00F5644D">
        <w:rPr>
          <w:kern w:val="1"/>
          <w:lang w:val="ro-RO" w:eastAsia="hi-IN" w:bidi="hi-IN"/>
        </w:rPr>
        <w:t>. Acesta se aplică tuturor documentelor care ajung în mâinile avocatului sau ale clientului, precum şi tuturor comunicărilor care provin de la oricare dintre ei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 xml:space="preserve">Decizia CJUE a fost </w:t>
      </w:r>
      <w:r>
        <w:rPr>
          <w:bCs/>
          <w:iCs/>
          <w:kern w:val="1"/>
          <w:lang w:val="ro-RO" w:eastAsia="hi-IN" w:bidi="hi-IN"/>
        </w:rPr>
        <w:t>ş</w:t>
      </w:r>
      <w:r w:rsidRPr="00F5644D">
        <w:rPr>
          <w:bCs/>
          <w:iCs/>
          <w:kern w:val="1"/>
          <w:lang w:val="ro-RO" w:eastAsia="hi-IN" w:bidi="hi-IN"/>
        </w:rPr>
        <w:t xml:space="preserve">i continuă să fie deosebit de importantă, întrucât a confirmat protejarea comunicărilor privilegiate (contestată până în 1978) </w:t>
      </w:r>
      <w:r>
        <w:rPr>
          <w:bCs/>
          <w:iCs/>
          <w:kern w:val="1"/>
          <w:lang w:val="ro-RO" w:eastAsia="hi-IN" w:bidi="hi-IN"/>
        </w:rPr>
        <w:t>ş</w:t>
      </w:r>
      <w:r w:rsidRPr="00F5644D">
        <w:rPr>
          <w:bCs/>
          <w:iCs/>
          <w:kern w:val="1"/>
          <w:lang w:val="ro-RO" w:eastAsia="hi-IN" w:bidi="hi-IN"/>
        </w:rPr>
        <w:t xml:space="preserve">i a definit aria de aplicare a secretului profesional </w:t>
      </w:r>
      <w:r>
        <w:rPr>
          <w:bCs/>
          <w:iCs/>
          <w:kern w:val="1"/>
          <w:lang w:val="ro-RO" w:eastAsia="hi-IN" w:bidi="hi-IN"/>
        </w:rPr>
        <w:t>ş</w:t>
      </w:r>
      <w:r w:rsidRPr="00F5644D">
        <w:rPr>
          <w:bCs/>
          <w:iCs/>
          <w:kern w:val="1"/>
          <w:lang w:val="ro-RO" w:eastAsia="hi-IN" w:bidi="hi-IN"/>
        </w:rPr>
        <w:t>i implica</w:t>
      </w:r>
      <w:r>
        <w:rPr>
          <w:bCs/>
          <w:iCs/>
          <w:kern w:val="1"/>
          <w:lang w:val="ro-RO" w:eastAsia="hi-IN" w:bidi="hi-IN"/>
        </w:rPr>
        <w:t>ţ</w:t>
      </w:r>
      <w:r w:rsidRPr="00F5644D">
        <w:rPr>
          <w:bCs/>
          <w:iCs/>
          <w:kern w:val="1"/>
          <w:lang w:val="ro-RO" w:eastAsia="hi-IN" w:bidi="hi-IN"/>
        </w:rPr>
        <w:t>iile practice ale acestuia</w:t>
      </w:r>
      <w:r w:rsidRPr="00F5644D">
        <w:rPr>
          <w:lang w:val="ro-RO"/>
        </w:rPr>
        <w:t xml:space="preserve">. </w:t>
      </w:r>
      <w:r w:rsidRPr="00F5644D">
        <w:rPr>
          <w:bCs/>
          <w:iCs/>
          <w:kern w:val="1"/>
          <w:lang w:val="ro-RO" w:eastAsia="hi-IN" w:bidi="hi-IN"/>
        </w:rPr>
        <w:t xml:space="preserve">CJUE a remarcat că secretul profesional </w:t>
      </w:r>
      <w:r>
        <w:rPr>
          <w:bCs/>
          <w:iCs/>
          <w:kern w:val="1"/>
          <w:lang w:val="ro-RO" w:eastAsia="hi-IN" w:bidi="hi-IN"/>
        </w:rPr>
        <w:t>ş</w:t>
      </w:r>
      <w:r w:rsidRPr="00F5644D">
        <w:rPr>
          <w:bCs/>
          <w:iCs/>
          <w:kern w:val="1"/>
          <w:lang w:val="ro-RO" w:eastAsia="hi-IN" w:bidi="hi-IN"/>
        </w:rPr>
        <w:t xml:space="preserve">i privilegiul </w:t>
      </w:r>
      <w:r w:rsidRPr="00F5644D">
        <w:rPr>
          <w:lang w:val="ro-RO"/>
        </w:rPr>
        <w:t xml:space="preserve">profesiei juridice sunt strâns legate </w:t>
      </w:r>
      <w:r w:rsidRPr="00F5644D">
        <w:rPr>
          <w:bCs/>
          <w:iCs/>
          <w:kern w:val="1"/>
          <w:lang w:val="ro-RO" w:eastAsia="hi-IN" w:bidi="hi-IN"/>
        </w:rPr>
        <w:t>de conceptul referitor la rolul avocatului de colaborator în administrarea justi</w:t>
      </w:r>
      <w:r>
        <w:rPr>
          <w:bCs/>
          <w:iCs/>
          <w:kern w:val="1"/>
          <w:lang w:val="ro-RO" w:eastAsia="hi-IN" w:bidi="hi-IN"/>
        </w:rPr>
        <w:t>ţ</w:t>
      </w:r>
      <w:r w:rsidRPr="00F5644D">
        <w:rPr>
          <w:bCs/>
          <w:iCs/>
          <w:kern w:val="1"/>
          <w:lang w:val="ro-RO" w:eastAsia="hi-IN" w:bidi="hi-IN"/>
        </w:rPr>
        <w:t>iei de către instan</w:t>
      </w:r>
      <w:r>
        <w:rPr>
          <w:bCs/>
          <w:iCs/>
          <w:kern w:val="1"/>
          <w:lang w:val="ro-RO" w:eastAsia="hi-IN" w:bidi="hi-IN"/>
        </w:rPr>
        <w:t>ţ</w:t>
      </w:r>
      <w:r w:rsidRPr="00F5644D">
        <w:rPr>
          <w:bCs/>
          <w:iCs/>
          <w:kern w:val="1"/>
          <w:lang w:val="ro-RO" w:eastAsia="hi-IN" w:bidi="hi-IN"/>
        </w:rPr>
        <w:t>e</w:t>
      </w:r>
      <w:r w:rsidRPr="00F5644D">
        <w:rPr>
          <w:vertAlign w:val="superscript"/>
          <w:lang w:val="ro-RO"/>
        </w:rPr>
        <w:footnoteReference w:id="15"/>
      </w:r>
      <w:r w:rsidRPr="00F5644D">
        <w:rPr>
          <w:lang w:val="ro-RO"/>
        </w:rPr>
        <w:t xml:space="preserve">. </w:t>
      </w:r>
      <w:r w:rsidRPr="00F5644D">
        <w:rPr>
          <w:bCs/>
          <w:iCs/>
          <w:kern w:val="1"/>
          <w:lang w:val="ro-RO" w:eastAsia="hi-IN" w:bidi="hi-IN"/>
        </w:rPr>
        <w:t>CCBE a intervenit în cauză în sprijinul reclamantei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spe</w:t>
      </w:r>
      <w:r>
        <w:rPr>
          <w:kern w:val="1"/>
          <w:lang w:val="ro-RO" w:eastAsia="hi-IN" w:bidi="hi-IN"/>
        </w:rPr>
        <w:t>ţ</w:t>
      </w:r>
      <w:r w:rsidRPr="00F5644D">
        <w:rPr>
          <w:kern w:val="1"/>
          <w:lang w:val="ro-RO" w:eastAsia="hi-IN" w:bidi="hi-IN"/>
        </w:rPr>
        <w:t xml:space="preserve">a </w:t>
      </w:r>
      <w:r w:rsidRPr="00F5644D">
        <w:rPr>
          <w:i/>
          <w:iCs/>
          <w:kern w:val="1"/>
          <w:lang w:val="ro-RO" w:eastAsia="hi-IN" w:bidi="hi-IN"/>
        </w:rPr>
        <w:t>AM&amp;S</w:t>
      </w:r>
      <w:r w:rsidRPr="00F5644D">
        <w:rPr>
          <w:iCs/>
          <w:kern w:val="1"/>
          <w:lang w:val="ro-RO" w:eastAsia="hi-IN" w:bidi="hi-IN"/>
        </w:rPr>
        <w:t xml:space="preserve">, </w:t>
      </w:r>
      <w:r w:rsidRPr="00F5644D">
        <w:rPr>
          <w:kern w:val="1"/>
          <w:lang w:val="ro-RO" w:eastAsia="hi-IN" w:bidi="hi-IN"/>
        </w:rPr>
        <w:t>CJUE a definit aria de aplicare a secretului profesional în sistemul Comunită</w:t>
      </w:r>
      <w:r>
        <w:rPr>
          <w:kern w:val="1"/>
          <w:lang w:val="ro-RO" w:eastAsia="hi-IN" w:bidi="hi-IN"/>
        </w:rPr>
        <w:t>ţ</w:t>
      </w:r>
      <w:r w:rsidRPr="00F5644D">
        <w:rPr>
          <w:kern w:val="1"/>
          <w:lang w:val="ro-RO" w:eastAsia="hi-IN" w:bidi="hi-IN"/>
        </w:rPr>
        <w:t>ii Europene, pe baza tradi</w:t>
      </w:r>
      <w:r>
        <w:rPr>
          <w:kern w:val="1"/>
          <w:lang w:val="ro-RO" w:eastAsia="hi-IN" w:bidi="hi-IN"/>
        </w:rPr>
        <w:t>ţ</w:t>
      </w:r>
      <w:r w:rsidRPr="00F5644D">
        <w:rPr>
          <w:kern w:val="1"/>
          <w:lang w:val="ro-RO" w:eastAsia="hi-IN" w:bidi="hi-IN"/>
        </w:rPr>
        <w:t>iilor juridice comune statelor membre. A interpretat regulamentul 17 în sensul protejării confiden</w:t>
      </w:r>
      <w:r>
        <w:rPr>
          <w:kern w:val="1"/>
          <w:lang w:val="ro-RO" w:eastAsia="hi-IN" w:bidi="hi-IN"/>
        </w:rPr>
        <w:t>ţ</w:t>
      </w:r>
      <w:r w:rsidRPr="00F5644D">
        <w:rPr>
          <w:kern w:val="1"/>
          <w:lang w:val="ro-RO" w:eastAsia="hi-IN" w:bidi="hi-IN"/>
        </w:rPr>
        <w:t>ialită</w:t>
      </w:r>
      <w:r>
        <w:rPr>
          <w:kern w:val="1"/>
          <w:lang w:val="ro-RO" w:eastAsia="hi-IN" w:bidi="hi-IN"/>
        </w:rPr>
        <w:t>ţ</w:t>
      </w:r>
      <w:r w:rsidRPr="00F5644D">
        <w:rPr>
          <w:kern w:val="1"/>
          <w:lang w:val="ro-RO" w:eastAsia="hi-IN" w:bidi="hi-IN"/>
        </w:rPr>
        <w:t xml:space="preserve">ii comunicărilor scrise dintre un avocat </w:t>
      </w:r>
      <w:r>
        <w:rPr>
          <w:kern w:val="1"/>
          <w:lang w:val="ro-RO" w:eastAsia="hi-IN" w:bidi="hi-IN"/>
        </w:rPr>
        <w:t>ş</w:t>
      </w:r>
      <w:r w:rsidRPr="00F5644D">
        <w:rPr>
          <w:kern w:val="1"/>
          <w:lang w:val="ro-RO" w:eastAsia="hi-IN" w:bidi="hi-IN"/>
        </w:rPr>
        <w:t>i clien</w:t>
      </w:r>
      <w:r>
        <w:rPr>
          <w:kern w:val="1"/>
          <w:lang w:val="ro-RO" w:eastAsia="hi-IN" w:bidi="hi-IN"/>
        </w:rPr>
        <w:t>ţ</w:t>
      </w:r>
      <w:r w:rsidRPr="00F5644D">
        <w:rPr>
          <w:kern w:val="1"/>
          <w:lang w:val="ro-RO" w:eastAsia="hi-IN" w:bidi="hi-IN"/>
        </w:rPr>
        <w:t>ii săi, sub rezerva a două condi</w:t>
      </w:r>
      <w:r>
        <w:rPr>
          <w:kern w:val="1"/>
          <w:lang w:val="ro-RO" w:eastAsia="hi-IN" w:bidi="hi-IN"/>
        </w:rPr>
        <w:t>ţ</w:t>
      </w:r>
      <w:r w:rsidRPr="00F5644D">
        <w:rPr>
          <w:kern w:val="1"/>
          <w:lang w:val="ro-RO" w:eastAsia="hi-IN" w:bidi="hi-IN"/>
        </w:rPr>
        <w:t>ii, introducând elemente ale acestei protec</w:t>
      </w:r>
      <w:r>
        <w:rPr>
          <w:kern w:val="1"/>
          <w:lang w:val="ro-RO" w:eastAsia="hi-IN" w:bidi="hi-IN"/>
        </w:rPr>
        <w:t>ţ</w:t>
      </w:r>
      <w:r w:rsidRPr="00F5644D">
        <w:rPr>
          <w:kern w:val="1"/>
          <w:lang w:val="ro-RO" w:eastAsia="hi-IN" w:bidi="hi-IN"/>
        </w:rPr>
        <w:t xml:space="preserve">ii despre </w:t>
      </w:r>
      <w:r w:rsidRPr="00F5644D">
        <w:rPr>
          <w:lang w:val="ro-RO"/>
        </w:rPr>
        <w:t>care</w:t>
      </w:r>
      <w:r w:rsidRPr="00F5644D">
        <w:rPr>
          <w:kern w:val="1"/>
          <w:lang w:val="ro-RO" w:eastAsia="hi-IN" w:bidi="hi-IN"/>
        </w:rPr>
        <w:t xml:space="preserve"> s-a constatat că sunt comune legisla</w:t>
      </w:r>
      <w:r>
        <w:rPr>
          <w:kern w:val="1"/>
          <w:lang w:val="ro-RO" w:eastAsia="hi-IN" w:bidi="hi-IN"/>
        </w:rPr>
        <w:t>ţ</w:t>
      </w:r>
      <w:r w:rsidRPr="00F5644D">
        <w:rPr>
          <w:kern w:val="1"/>
          <w:lang w:val="ro-RO" w:eastAsia="hi-IN" w:bidi="hi-IN"/>
        </w:rPr>
        <w:t xml:space="preserve">iilor statelor membre din 1982, respectiv: (i) comunicările trebuie să aibă loc pentru </w:t>
      </w:r>
      <w:r>
        <w:rPr>
          <w:kern w:val="1"/>
          <w:lang w:val="ro-RO" w:eastAsia="hi-IN" w:bidi="hi-IN"/>
        </w:rPr>
        <w:t>ş</w:t>
      </w:r>
      <w:r w:rsidRPr="00F5644D">
        <w:rPr>
          <w:kern w:val="1"/>
          <w:lang w:val="ro-RO" w:eastAsia="hi-IN" w:bidi="hi-IN"/>
        </w:rPr>
        <w:t xml:space="preserve">i în interesul drepturilor la apărare ale clientului, </w:t>
      </w:r>
      <w:r>
        <w:rPr>
          <w:kern w:val="1"/>
          <w:lang w:val="ro-RO" w:eastAsia="hi-IN" w:bidi="hi-IN"/>
        </w:rPr>
        <w:t>ş</w:t>
      </w:r>
      <w:r w:rsidRPr="00F5644D">
        <w:rPr>
          <w:kern w:val="1"/>
          <w:lang w:val="ro-RO" w:eastAsia="hi-IN" w:bidi="hi-IN"/>
        </w:rPr>
        <w:t>i (ii) comunicările trebuie să fie întocmite de avoca</w:t>
      </w:r>
      <w:r>
        <w:rPr>
          <w:kern w:val="1"/>
          <w:lang w:val="ro-RO" w:eastAsia="hi-IN" w:bidi="hi-IN"/>
        </w:rPr>
        <w:t>ţ</w:t>
      </w:r>
      <w:r w:rsidRPr="00F5644D">
        <w:rPr>
          <w:kern w:val="1"/>
          <w:lang w:val="ro-RO" w:eastAsia="hi-IN" w:bidi="hi-IN"/>
        </w:rPr>
        <w:t>i independen</w:t>
      </w:r>
      <w:r>
        <w:rPr>
          <w:kern w:val="1"/>
          <w:lang w:val="ro-RO" w:eastAsia="hi-IN" w:bidi="hi-IN"/>
        </w:rPr>
        <w:t>ţ</w:t>
      </w:r>
      <w:r w:rsidRPr="00F5644D">
        <w:rPr>
          <w:kern w:val="1"/>
          <w:lang w:val="ro-RO" w:eastAsia="hi-IN" w:bidi="hi-IN"/>
        </w:rPr>
        <w:t>i care dispun de calificările necesare pentru a-</w:t>
      </w:r>
      <w:r>
        <w:rPr>
          <w:kern w:val="1"/>
          <w:lang w:val="ro-RO" w:eastAsia="hi-IN" w:bidi="hi-IN"/>
        </w:rPr>
        <w:t>ş</w:t>
      </w:r>
      <w:r w:rsidRPr="00F5644D">
        <w:rPr>
          <w:kern w:val="1"/>
          <w:lang w:val="ro-RO" w:eastAsia="hi-IN" w:bidi="hi-IN"/>
        </w:rPr>
        <w:t xml:space="preserve">i practica profesia în orice </w:t>
      </w:r>
      <w:r>
        <w:rPr>
          <w:kern w:val="1"/>
          <w:lang w:val="ro-RO" w:eastAsia="hi-IN" w:bidi="hi-IN"/>
        </w:rPr>
        <w:t>ţ</w:t>
      </w:r>
      <w:r w:rsidRPr="00F5644D">
        <w:rPr>
          <w:kern w:val="1"/>
          <w:lang w:val="ro-RO" w:eastAsia="hi-IN" w:bidi="hi-IN"/>
        </w:rPr>
        <w:t>ară a SEE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ceea ce prive</w:t>
      </w:r>
      <w:r>
        <w:rPr>
          <w:kern w:val="1"/>
          <w:lang w:val="ro-RO" w:eastAsia="hi-IN" w:bidi="hi-IN"/>
        </w:rPr>
        <w:t>ş</w:t>
      </w:r>
      <w:r w:rsidRPr="00F5644D">
        <w:rPr>
          <w:kern w:val="1"/>
          <w:lang w:val="ro-RO" w:eastAsia="hi-IN" w:bidi="hi-IN"/>
        </w:rPr>
        <w:t>te prima cerin</w:t>
      </w:r>
      <w:r>
        <w:rPr>
          <w:kern w:val="1"/>
          <w:lang w:val="ro-RO" w:eastAsia="hi-IN" w:bidi="hi-IN"/>
        </w:rPr>
        <w:t>ţ</w:t>
      </w:r>
      <w:r w:rsidRPr="00F5644D">
        <w:rPr>
          <w:kern w:val="1"/>
          <w:lang w:val="ro-RO" w:eastAsia="hi-IN" w:bidi="hi-IN"/>
        </w:rPr>
        <w:t xml:space="preserve">ă, CJUE a subliniat că trebuie asigurată exercitarea deplină a drepturilor la apărare în contextul procedurilor de investigare derulate de Comisie </w:t>
      </w:r>
      <w:r>
        <w:rPr>
          <w:kern w:val="1"/>
          <w:lang w:val="ro-RO" w:eastAsia="hi-IN" w:bidi="hi-IN"/>
        </w:rPr>
        <w:t>ş</w:t>
      </w:r>
      <w:r w:rsidRPr="00F5644D">
        <w:rPr>
          <w:kern w:val="1"/>
          <w:lang w:val="ro-RO" w:eastAsia="hi-IN" w:bidi="hi-IN"/>
        </w:rPr>
        <w:t>i că protec</w:t>
      </w:r>
      <w:r>
        <w:rPr>
          <w:kern w:val="1"/>
          <w:lang w:val="ro-RO" w:eastAsia="hi-IN" w:bidi="hi-IN"/>
        </w:rPr>
        <w:t>ţ</w:t>
      </w:r>
      <w:r w:rsidRPr="00F5644D">
        <w:rPr>
          <w:kern w:val="1"/>
          <w:lang w:val="ro-RO" w:eastAsia="hi-IN" w:bidi="hi-IN"/>
        </w:rPr>
        <w:t>ia confiden</w:t>
      </w:r>
      <w:r>
        <w:rPr>
          <w:kern w:val="1"/>
          <w:lang w:val="ro-RO" w:eastAsia="hi-IN" w:bidi="hi-IN"/>
        </w:rPr>
        <w:t>ţ</w:t>
      </w:r>
      <w:r w:rsidRPr="00F5644D">
        <w:rPr>
          <w:kern w:val="1"/>
          <w:lang w:val="ro-RO" w:eastAsia="hi-IN" w:bidi="hi-IN"/>
        </w:rPr>
        <w:t>ialită</w:t>
      </w:r>
      <w:r>
        <w:rPr>
          <w:kern w:val="1"/>
          <w:lang w:val="ro-RO" w:eastAsia="hi-IN" w:bidi="hi-IN"/>
        </w:rPr>
        <w:t>ţ</w:t>
      </w:r>
      <w:r w:rsidRPr="00F5644D">
        <w:rPr>
          <w:kern w:val="1"/>
          <w:lang w:val="ro-RO" w:eastAsia="hi-IN" w:bidi="hi-IN"/>
        </w:rPr>
        <w:t xml:space="preserve">ii comunicărilor scrise între client </w:t>
      </w:r>
      <w:r>
        <w:rPr>
          <w:kern w:val="1"/>
          <w:lang w:val="ro-RO" w:eastAsia="hi-IN" w:bidi="hi-IN"/>
        </w:rPr>
        <w:t>ş</w:t>
      </w:r>
      <w:r w:rsidRPr="00F5644D">
        <w:rPr>
          <w:kern w:val="1"/>
          <w:lang w:val="ro-RO" w:eastAsia="hi-IN" w:bidi="hi-IN"/>
        </w:rPr>
        <w:t>i avocat reprezintă un corolar esen</w:t>
      </w:r>
      <w:r>
        <w:rPr>
          <w:kern w:val="1"/>
          <w:lang w:val="ro-RO" w:eastAsia="hi-IN" w:bidi="hi-IN"/>
        </w:rPr>
        <w:t>ţ</w:t>
      </w:r>
      <w:r w:rsidRPr="00F5644D">
        <w:rPr>
          <w:kern w:val="1"/>
          <w:lang w:val="ro-RO" w:eastAsia="hi-IN" w:bidi="hi-IN"/>
        </w:rPr>
        <w:t>ial al drepturilor la apărare. A</w:t>
      </w:r>
      <w:r>
        <w:rPr>
          <w:kern w:val="1"/>
          <w:lang w:val="ro-RO" w:eastAsia="hi-IN" w:bidi="hi-IN"/>
        </w:rPr>
        <w:t>ş</w:t>
      </w:r>
      <w:r w:rsidRPr="00F5644D">
        <w:rPr>
          <w:kern w:val="1"/>
          <w:lang w:val="ro-RO" w:eastAsia="hi-IN" w:bidi="hi-IN"/>
        </w:rPr>
        <w:t>adar, Curtea recunoa</w:t>
      </w:r>
      <w:r>
        <w:rPr>
          <w:kern w:val="1"/>
          <w:lang w:val="ro-RO" w:eastAsia="hi-IN" w:bidi="hi-IN"/>
        </w:rPr>
        <w:t>ş</w:t>
      </w:r>
      <w:r w:rsidRPr="00F5644D">
        <w:rPr>
          <w:kern w:val="1"/>
          <w:lang w:val="ro-RO" w:eastAsia="hi-IN" w:bidi="hi-IN"/>
        </w:rPr>
        <w:t>te faptul că toate comunicările scrise transmise după ini</w:t>
      </w:r>
      <w:r>
        <w:rPr>
          <w:kern w:val="1"/>
          <w:lang w:val="ro-RO" w:eastAsia="hi-IN" w:bidi="hi-IN"/>
        </w:rPr>
        <w:t>ţ</w:t>
      </w:r>
      <w:r w:rsidRPr="00F5644D">
        <w:rPr>
          <w:kern w:val="1"/>
          <w:lang w:val="ro-RO" w:eastAsia="hi-IN" w:bidi="hi-IN"/>
        </w:rPr>
        <w:t>ierea procedurilor trebuie protejate. Cu toate acestea, întrucât Comisia poate să declan</w:t>
      </w:r>
      <w:r>
        <w:rPr>
          <w:kern w:val="1"/>
          <w:lang w:val="ro-RO" w:eastAsia="hi-IN" w:bidi="hi-IN"/>
        </w:rPr>
        <w:t>ş</w:t>
      </w:r>
      <w:r w:rsidRPr="00F5644D">
        <w:rPr>
          <w:kern w:val="1"/>
          <w:lang w:val="ro-RO" w:eastAsia="hi-IN" w:bidi="hi-IN"/>
        </w:rPr>
        <w:t>eze o investiga</w:t>
      </w:r>
      <w:r>
        <w:rPr>
          <w:kern w:val="1"/>
          <w:lang w:val="ro-RO" w:eastAsia="hi-IN" w:bidi="hi-IN"/>
        </w:rPr>
        <w:t>ţ</w:t>
      </w:r>
      <w:r w:rsidRPr="00F5644D">
        <w:rPr>
          <w:kern w:val="1"/>
          <w:lang w:val="ro-RO" w:eastAsia="hi-IN" w:bidi="hi-IN"/>
        </w:rPr>
        <w:t>ie înainte de ini</w:t>
      </w:r>
      <w:r>
        <w:rPr>
          <w:kern w:val="1"/>
          <w:lang w:val="ro-RO" w:eastAsia="hi-IN" w:bidi="hi-IN"/>
        </w:rPr>
        <w:t>ţ</w:t>
      </w:r>
      <w:r w:rsidRPr="00F5644D">
        <w:rPr>
          <w:kern w:val="1"/>
          <w:lang w:val="ro-RO" w:eastAsia="hi-IN" w:bidi="hi-IN"/>
        </w:rPr>
        <w:t xml:space="preserve">ierea formală a procedurii, Curtea a afirmat că – pentru a nu descuraja întreprinderile să solicite consiliere juridică cât mai repede – protejarea secretului profesional </w:t>
      </w:r>
      <w:r>
        <w:rPr>
          <w:kern w:val="1"/>
          <w:lang w:val="ro-RO" w:eastAsia="hi-IN" w:bidi="hi-IN"/>
        </w:rPr>
        <w:t>ş</w:t>
      </w:r>
      <w:r w:rsidRPr="00F5644D">
        <w:rPr>
          <w:kern w:val="1"/>
          <w:lang w:val="ro-RO" w:eastAsia="hi-IN" w:bidi="hi-IN"/>
        </w:rPr>
        <w:t xml:space="preserve">i a privilegiului profesiei juridice se aplică </w:t>
      </w:r>
      <w:r>
        <w:rPr>
          <w:kern w:val="1"/>
          <w:lang w:val="ro-RO" w:eastAsia="hi-IN" w:bidi="hi-IN"/>
        </w:rPr>
        <w:t>ş</w:t>
      </w:r>
      <w:r w:rsidRPr="00F5644D">
        <w:rPr>
          <w:kern w:val="1"/>
          <w:lang w:val="ro-RO" w:eastAsia="hi-IN" w:bidi="hi-IN"/>
        </w:rPr>
        <w:t>i pentru orice comunicare scrisă anterioară care are legătură cu obiectul procedurii. Consilierea juridică este considerată o etapă „pregătitoareˮ în cadrul apărării întreprinderii</w:t>
      </w:r>
      <w:r w:rsidRPr="00F5644D">
        <w:rPr>
          <w:rStyle w:val="FootnoteReference"/>
          <w:rFonts w:cs="Arial"/>
          <w:lang w:val="ro-RO"/>
        </w:rPr>
        <w:footnoteReference w:id="16"/>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baza celei de-a doua cerin</w:t>
      </w:r>
      <w:r>
        <w:rPr>
          <w:kern w:val="1"/>
          <w:lang w:val="ro-RO" w:eastAsia="hi-IN" w:bidi="hi-IN"/>
        </w:rPr>
        <w:t>ţ</w:t>
      </w:r>
      <w:r w:rsidRPr="00F5644D">
        <w:rPr>
          <w:kern w:val="1"/>
          <w:lang w:val="ro-RO" w:eastAsia="hi-IN" w:bidi="hi-IN"/>
        </w:rPr>
        <w:t>e stabilite în spe</w:t>
      </w:r>
      <w:r>
        <w:rPr>
          <w:kern w:val="1"/>
          <w:lang w:val="ro-RO" w:eastAsia="hi-IN" w:bidi="hi-IN"/>
        </w:rPr>
        <w:t>ţ</w:t>
      </w:r>
      <w:r w:rsidRPr="00F5644D">
        <w:rPr>
          <w:kern w:val="1"/>
          <w:lang w:val="ro-RO" w:eastAsia="hi-IN" w:bidi="hi-IN"/>
        </w:rPr>
        <w:t xml:space="preserve">a </w:t>
      </w:r>
      <w:r w:rsidRPr="00F5644D">
        <w:rPr>
          <w:i/>
          <w:iCs/>
          <w:kern w:val="1"/>
          <w:lang w:val="ro-RO" w:eastAsia="hi-IN" w:bidi="hi-IN"/>
        </w:rPr>
        <w:t>AM&amp;S</w:t>
      </w:r>
      <w:r w:rsidRPr="00F5644D">
        <w:rPr>
          <w:kern w:val="1"/>
          <w:lang w:val="ro-RO" w:eastAsia="hi-IN" w:bidi="hi-IN"/>
        </w:rPr>
        <w:t>, secretul profesional se aplică doar comunicărilor scrise întocmite de avoca</w:t>
      </w:r>
      <w:r>
        <w:rPr>
          <w:kern w:val="1"/>
          <w:lang w:val="ro-RO" w:eastAsia="hi-IN" w:bidi="hi-IN"/>
        </w:rPr>
        <w:t>ţ</w:t>
      </w:r>
      <w:r w:rsidRPr="00F5644D">
        <w:rPr>
          <w:kern w:val="1"/>
          <w:lang w:val="ro-RO" w:eastAsia="hi-IN" w:bidi="hi-IN"/>
        </w:rPr>
        <w:t>i independen</w:t>
      </w:r>
      <w:r>
        <w:rPr>
          <w:kern w:val="1"/>
          <w:lang w:val="ro-RO" w:eastAsia="hi-IN" w:bidi="hi-IN"/>
        </w:rPr>
        <w:t>ţ</w:t>
      </w:r>
      <w:r w:rsidRPr="00F5644D">
        <w:rPr>
          <w:kern w:val="1"/>
          <w:lang w:val="ro-RO" w:eastAsia="hi-IN" w:bidi="hi-IN"/>
        </w:rPr>
        <w:t>i care au dreptul să î</w:t>
      </w:r>
      <w:r>
        <w:rPr>
          <w:kern w:val="1"/>
          <w:lang w:val="ro-RO" w:eastAsia="hi-IN" w:bidi="hi-IN"/>
        </w:rPr>
        <w:t>ş</w:t>
      </w:r>
      <w:r w:rsidRPr="00F5644D">
        <w:rPr>
          <w:kern w:val="1"/>
          <w:lang w:val="ro-RO" w:eastAsia="hi-IN" w:bidi="hi-IN"/>
        </w:rPr>
        <w:t>i practice profesia în unul dintre statele membre, indiferent dacă este sau nu vorba despre acela</w:t>
      </w:r>
      <w:r>
        <w:rPr>
          <w:kern w:val="1"/>
          <w:lang w:val="ro-RO" w:eastAsia="hi-IN" w:bidi="hi-IN"/>
        </w:rPr>
        <w:t>ş</w:t>
      </w:r>
      <w:r w:rsidRPr="00F5644D">
        <w:rPr>
          <w:kern w:val="1"/>
          <w:lang w:val="ro-RO" w:eastAsia="hi-IN" w:bidi="hi-IN"/>
        </w:rPr>
        <w:t>i stat membru în care î</w:t>
      </w:r>
      <w:r>
        <w:rPr>
          <w:kern w:val="1"/>
          <w:lang w:val="ro-RO" w:eastAsia="hi-IN" w:bidi="hi-IN"/>
        </w:rPr>
        <w:t>ş</w:t>
      </w:r>
      <w:r w:rsidRPr="00F5644D">
        <w:rPr>
          <w:kern w:val="1"/>
          <w:lang w:val="ro-RO" w:eastAsia="hi-IN" w:bidi="hi-IN"/>
        </w:rPr>
        <w:t>i are domiciliul clientul</w:t>
      </w:r>
      <w:r w:rsidRPr="00F5644D">
        <w:rPr>
          <w:lang w:val="ro-RO"/>
        </w:rPr>
        <w:t>.</w:t>
      </w:r>
      <w:r w:rsidRPr="00F5644D">
        <w:rPr>
          <w:rStyle w:val="Bodytext2Italic"/>
          <w:rFonts w:eastAsia="Arial Unicode MS"/>
          <w:i w:val="0"/>
          <w:vertAlign w:val="superscript"/>
          <w:lang w:val="ro-RO"/>
        </w:rPr>
        <w:footnoteReference w:id="17"/>
      </w:r>
      <w:r w:rsidRPr="00F5644D">
        <w:rPr>
          <w:lang w:val="ro-RO"/>
        </w:rPr>
        <w:t xml:space="preserve"> </w:t>
      </w:r>
      <w:r w:rsidRPr="00F5644D">
        <w:rPr>
          <w:kern w:val="1"/>
          <w:lang w:val="ro-RO" w:eastAsia="hi-IN" w:bidi="hi-IN"/>
        </w:rPr>
        <w:t>Acest lucru înseamnă că, prin defini</w:t>
      </w:r>
      <w:r>
        <w:rPr>
          <w:kern w:val="1"/>
          <w:lang w:val="ro-RO" w:eastAsia="hi-IN" w:bidi="hi-IN"/>
        </w:rPr>
        <w:t>ţ</w:t>
      </w:r>
      <w:r w:rsidRPr="00F5644D">
        <w:rPr>
          <w:kern w:val="1"/>
          <w:lang w:val="ro-RO" w:eastAsia="hi-IN" w:bidi="hi-IN"/>
        </w:rPr>
        <w:t>ie, comunicările ce implică avoca</w:t>
      </w:r>
      <w:r>
        <w:rPr>
          <w:kern w:val="1"/>
          <w:lang w:val="ro-RO" w:eastAsia="hi-IN" w:bidi="hi-IN"/>
        </w:rPr>
        <w:t>ţ</w:t>
      </w:r>
      <w:r w:rsidRPr="00F5644D">
        <w:rPr>
          <w:kern w:val="1"/>
          <w:lang w:val="ro-RO" w:eastAsia="hi-IN" w:bidi="hi-IN"/>
        </w:rPr>
        <w:t>i califica</w:t>
      </w:r>
      <w:r>
        <w:rPr>
          <w:kern w:val="1"/>
          <w:lang w:val="ro-RO" w:eastAsia="hi-IN" w:bidi="hi-IN"/>
        </w:rPr>
        <w:t>ţ</w:t>
      </w:r>
      <w:r w:rsidRPr="00F5644D">
        <w:rPr>
          <w:kern w:val="1"/>
          <w:lang w:val="ro-RO" w:eastAsia="hi-IN" w:bidi="hi-IN"/>
        </w:rPr>
        <w:t xml:space="preserve">i în </w:t>
      </w:r>
      <w:r>
        <w:rPr>
          <w:kern w:val="1"/>
          <w:lang w:val="ro-RO" w:eastAsia="hi-IN" w:bidi="hi-IN"/>
        </w:rPr>
        <w:t>ţ</w:t>
      </w:r>
      <w:r w:rsidRPr="00F5644D">
        <w:rPr>
          <w:kern w:val="1"/>
          <w:lang w:val="ro-RO" w:eastAsia="hi-IN" w:bidi="hi-IN"/>
        </w:rPr>
        <w:t>ări ter</w:t>
      </w:r>
      <w:r>
        <w:rPr>
          <w:kern w:val="1"/>
          <w:lang w:val="ro-RO" w:eastAsia="hi-IN" w:bidi="hi-IN"/>
        </w:rPr>
        <w:t>ţ</w:t>
      </w:r>
      <w:r w:rsidRPr="00F5644D">
        <w:rPr>
          <w:kern w:val="1"/>
          <w:lang w:val="ro-RO" w:eastAsia="hi-IN" w:bidi="hi-IN"/>
        </w:rPr>
        <w:t>e precum Statele Unite ale Americii nu sunt considerate privilegiate în temeiul regimului juridic din UE, chiar dacă avoca</w:t>
      </w:r>
      <w:r>
        <w:rPr>
          <w:kern w:val="1"/>
          <w:lang w:val="ro-RO" w:eastAsia="hi-IN" w:bidi="hi-IN"/>
        </w:rPr>
        <w:t>ţ</w:t>
      </w:r>
      <w:r w:rsidRPr="00F5644D">
        <w:rPr>
          <w:kern w:val="1"/>
          <w:lang w:val="ro-RO" w:eastAsia="hi-IN" w:bidi="hi-IN"/>
        </w:rPr>
        <w:t>ii respectivi î</w:t>
      </w:r>
      <w:r>
        <w:rPr>
          <w:kern w:val="1"/>
          <w:lang w:val="ro-RO" w:eastAsia="hi-IN" w:bidi="hi-IN"/>
        </w:rPr>
        <w:t>ş</w:t>
      </w:r>
      <w:r w:rsidRPr="00F5644D">
        <w:rPr>
          <w:kern w:val="1"/>
          <w:lang w:val="ro-RO" w:eastAsia="hi-IN" w:bidi="hi-IN"/>
        </w:rPr>
        <w:t>i au sediul în CE</w:t>
      </w:r>
      <w:r w:rsidRPr="00F5644D">
        <w:rPr>
          <w:lang w:val="ro-RO"/>
        </w:rPr>
        <w:t>.</w:t>
      </w:r>
    </w:p>
    <w:p w:rsidR="006660B9" w:rsidRPr="00F5644D" w:rsidRDefault="006660B9" w:rsidP="005D3ACA">
      <w:pPr>
        <w:pStyle w:val="Bodytext21"/>
        <w:shd w:val="clear" w:color="auto" w:fill="auto"/>
        <w:tabs>
          <w:tab w:val="left" w:pos="5940"/>
        </w:tabs>
        <w:spacing w:before="240" w:line="276" w:lineRule="auto"/>
        <w:ind w:firstLine="0"/>
        <w:jc w:val="both"/>
        <w:rPr>
          <w:lang w:val="ro-RO"/>
        </w:rPr>
      </w:pPr>
      <w:r w:rsidRPr="00F5644D">
        <w:rPr>
          <w:lang w:val="ro-RO"/>
        </w:rPr>
        <w:t>În plus, no</w:t>
      </w:r>
      <w:r>
        <w:rPr>
          <w:lang w:val="ro-RO"/>
        </w:rPr>
        <w:t>ţ</w:t>
      </w:r>
      <w:r w:rsidRPr="00F5644D">
        <w:rPr>
          <w:lang w:val="ro-RO"/>
        </w:rPr>
        <w:t>iunea de „avocat independent” nu cuprinde, în opinia Cur</w:t>
      </w:r>
      <w:r>
        <w:rPr>
          <w:lang w:val="ro-RO"/>
        </w:rPr>
        <w:t>ţ</w:t>
      </w:r>
      <w:r w:rsidRPr="00F5644D">
        <w:rPr>
          <w:lang w:val="ro-RO"/>
        </w:rPr>
        <w:t>ii, orice expert juridic care are obliga</w:t>
      </w:r>
      <w:r>
        <w:rPr>
          <w:lang w:val="ro-RO"/>
        </w:rPr>
        <w:t>ţ</w:t>
      </w:r>
      <w:r w:rsidRPr="00F5644D">
        <w:rPr>
          <w:lang w:val="ro-RO"/>
        </w:rPr>
        <w:t>ii fa</w:t>
      </w:r>
      <w:r>
        <w:rPr>
          <w:lang w:val="ro-RO"/>
        </w:rPr>
        <w:t>ţ</w:t>
      </w:r>
      <w:r w:rsidRPr="00F5644D">
        <w:rPr>
          <w:lang w:val="ro-RO"/>
        </w:rPr>
        <w:t>ă de clientul său în baza unei rela</w:t>
      </w:r>
      <w:r>
        <w:rPr>
          <w:lang w:val="ro-RO"/>
        </w:rPr>
        <w:t>ţ</w:t>
      </w:r>
      <w:r w:rsidRPr="00F5644D">
        <w:rPr>
          <w:lang w:val="ro-RO"/>
        </w:rPr>
        <w:t xml:space="preserve">ii de muncă. </w:t>
      </w:r>
      <w:r w:rsidRPr="00F5644D">
        <w:rPr>
          <w:kern w:val="1"/>
          <w:lang w:val="ro-RO" w:eastAsia="hi-IN" w:bidi="hi-IN"/>
        </w:rPr>
        <w:t>Curtea a constatat că această cerin</w:t>
      </w:r>
      <w:r>
        <w:rPr>
          <w:kern w:val="1"/>
          <w:lang w:val="ro-RO" w:eastAsia="hi-IN" w:bidi="hi-IN"/>
        </w:rPr>
        <w:t>ţ</w:t>
      </w:r>
      <w:r w:rsidRPr="00F5644D">
        <w:rPr>
          <w:kern w:val="1"/>
          <w:lang w:val="ro-RO" w:eastAsia="hi-IN" w:bidi="hi-IN"/>
        </w:rPr>
        <w:t>ă, în legătură cu pozi</w:t>
      </w:r>
      <w:r>
        <w:rPr>
          <w:kern w:val="1"/>
          <w:lang w:val="ro-RO" w:eastAsia="hi-IN" w:bidi="hi-IN"/>
        </w:rPr>
        <w:t>ţ</w:t>
      </w:r>
      <w:r w:rsidRPr="00F5644D">
        <w:rPr>
          <w:kern w:val="1"/>
          <w:lang w:val="ro-RO" w:eastAsia="hi-IN" w:bidi="hi-IN"/>
        </w:rPr>
        <w:t xml:space="preserve">ia </w:t>
      </w:r>
      <w:r>
        <w:rPr>
          <w:kern w:val="1"/>
          <w:lang w:val="ro-RO" w:eastAsia="hi-IN" w:bidi="hi-IN"/>
        </w:rPr>
        <w:t>ş</w:t>
      </w:r>
      <w:r w:rsidRPr="00F5644D">
        <w:rPr>
          <w:kern w:val="1"/>
          <w:lang w:val="ro-RO" w:eastAsia="hi-IN" w:bidi="hi-IN"/>
        </w:rPr>
        <w:t>i statutul consilierului juridic, se bazează pe „</w:t>
      </w:r>
      <w:r w:rsidRPr="00F5644D">
        <w:rPr>
          <w:i/>
          <w:iCs/>
          <w:kern w:val="1"/>
          <w:lang w:val="ro-RO" w:eastAsia="hi-IN" w:bidi="hi-IN"/>
        </w:rPr>
        <w:t>conceptul conform căruia rolul avocatului este de a coopera în cadrul administrării justiţiei de către instanţe şi de a i se solicita să acorde, în condi</w:t>
      </w:r>
      <w:r>
        <w:rPr>
          <w:i/>
          <w:iCs/>
          <w:kern w:val="1"/>
          <w:lang w:val="ro-RO" w:eastAsia="hi-IN" w:bidi="hi-IN"/>
        </w:rPr>
        <w:t>ţ</w:t>
      </w:r>
      <w:r w:rsidRPr="00F5644D">
        <w:rPr>
          <w:i/>
          <w:iCs/>
          <w:kern w:val="1"/>
          <w:lang w:val="ro-RO" w:eastAsia="hi-IN" w:bidi="hi-IN"/>
        </w:rPr>
        <w:t>iile unei independen</w:t>
      </w:r>
      <w:r>
        <w:rPr>
          <w:i/>
          <w:iCs/>
          <w:kern w:val="1"/>
          <w:lang w:val="ro-RO" w:eastAsia="hi-IN" w:bidi="hi-IN"/>
        </w:rPr>
        <w:t>ţ</w:t>
      </w:r>
      <w:r w:rsidRPr="00F5644D">
        <w:rPr>
          <w:i/>
          <w:iCs/>
          <w:kern w:val="1"/>
          <w:lang w:val="ro-RO" w:eastAsia="hi-IN" w:bidi="hi-IN"/>
        </w:rPr>
        <w:t xml:space="preserve">e absolute, </w:t>
      </w:r>
      <w:r>
        <w:rPr>
          <w:i/>
          <w:iCs/>
          <w:kern w:val="1"/>
          <w:lang w:val="ro-RO" w:eastAsia="hi-IN" w:bidi="hi-IN"/>
        </w:rPr>
        <w:t>ş</w:t>
      </w:r>
      <w:r w:rsidRPr="00F5644D">
        <w:rPr>
          <w:i/>
          <w:iCs/>
          <w:kern w:val="1"/>
          <w:lang w:val="ro-RO" w:eastAsia="hi-IN" w:bidi="hi-IN"/>
        </w:rPr>
        <w:t>i având în vedere interesele majore ale spe</w:t>
      </w:r>
      <w:r>
        <w:rPr>
          <w:i/>
          <w:iCs/>
          <w:kern w:val="1"/>
          <w:lang w:val="ro-RO" w:eastAsia="hi-IN" w:bidi="hi-IN"/>
        </w:rPr>
        <w:t>ţ</w:t>
      </w:r>
      <w:r w:rsidRPr="00F5644D">
        <w:rPr>
          <w:i/>
          <w:iCs/>
          <w:kern w:val="1"/>
          <w:lang w:val="ro-RO" w:eastAsia="hi-IN" w:bidi="hi-IN"/>
        </w:rPr>
        <w:t>ei în cauză, asisten</w:t>
      </w:r>
      <w:r>
        <w:rPr>
          <w:i/>
          <w:iCs/>
          <w:kern w:val="1"/>
          <w:lang w:val="ro-RO" w:eastAsia="hi-IN" w:bidi="hi-IN"/>
        </w:rPr>
        <w:t>ţ</w:t>
      </w:r>
      <w:r w:rsidRPr="00F5644D">
        <w:rPr>
          <w:i/>
          <w:iCs/>
          <w:kern w:val="1"/>
          <w:lang w:val="ro-RO" w:eastAsia="hi-IN" w:bidi="hi-IN"/>
        </w:rPr>
        <w:t>a juridică de care are nevoie clientul</w:t>
      </w:r>
      <w:r w:rsidRPr="00F5644D">
        <w:rPr>
          <w:kern w:val="1"/>
          <w:lang w:val="ro-RO" w:eastAsia="hi-IN" w:bidi="hi-IN"/>
        </w:rPr>
        <w:t>”</w:t>
      </w:r>
      <w:r w:rsidRPr="00F5644D">
        <w:rPr>
          <w:rStyle w:val="Bodytext2Italic"/>
          <w:rFonts w:eastAsia="Arial Unicode MS"/>
          <w:lang w:val="ro-RO"/>
        </w:rPr>
        <w:t>.</w:t>
      </w:r>
      <w:r w:rsidRPr="00F5644D">
        <w:rPr>
          <w:rStyle w:val="Bodytext2Italic"/>
          <w:rFonts w:eastAsia="Arial Unicode MS"/>
          <w:vertAlign w:val="superscript"/>
          <w:lang w:val="ro-RO"/>
        </w:rPr>
        <w:footnoteReference w:id="18"/>
      </w:r>
      <w:r w:rsidRPr="00F5644D">
        <w:rPr>
          <w:rStyle w:val="Bodytext2Italic"/>
          <w:rFonts w:eastAsia="Arial Unicode MS"/>
          <w:vertAlign w:val="superscript"/>
          <w:lang w:val="ro-RO"/>
        </w:rPr>
        <w:t xml:space="preserve"> </w:t>
      </w:r>
      <w:r w:rsidRPr="00F5644D">
        <w:rPr>
          <w:kern w:val="1"/>
          <w:lang w:val="ro-RO" w:eastAsia="hi-IN" w:bidi="hi-IN"/>
        </w:rPr>
        <w:t>În ciuda men</w:t>
      </w:r>
      <w:r>
        <w:rPr>
          <w:kern w:val="1"/>
          <w:lang w:val="ro-RO" w:eastAsia="hi-IN" w:bidi="hi-IN"/>
        </w:rPr>
        <w:t>ţ</w:t>
      </w:r>
      <w:r w:rsidRPr="00F5644D">
        <w:rPr>
          <w:kern w:val="1"/>
          <w:lang w:val="ro-RO" w:eastAsia="hi-IN" w:bidi="hi-IN"/>
        </w:rPr>
        <w:t>iunii că „</w:t>
      </w:r>
      <w:r w:rsidRPr="00F5644D">
        <w:rPr>
          <w:i/>
          <w:iCs/>
          <w:kern w:val="1"/>
          <w:lang w:val="ro-RO" w:eastAsia="hi-IN" w:bidi="hi-IN"/>
        </w:rPr>
        <w:t xml:space="preserve">normele de etică profesională </w:t>
      </w:r>
      <w:r>
        <w:rPr>
          <w:i/>
          <w:iCs/>
          <w:kern w:val="1"/>
          <w:lang w:val="ro-RO" w:eastAsia="hi-IN" w:bidi="hi-IN"/>
        </w:rPr>
        <w:t>ş</w:t>
      </w:r>
      <w:r w:rsidRPr="00F5644D">
        <w:rPr>
          <w:i/>
          <w:iCs/>
          <w:kern w:val="1"/>
          <w:lang w:val="ro-RO" w:eastAsia="hi-IN" w:bidi="hi-IN"/>
        </w:rPr>
        <w:t xml:space="preserve">i disciplină prevăzute </w:t>
      </w:r>
      <w:r>
        <w:rPr>
          <w:i/>
          <w:iCs/>
          <w:kern w:val="1"/>
          <w:lang w:val="ro-RO" w:eastAsia="hi-IN" w:bidi="hi-IN"/>
        </w:rPr>
        <w:t>ş</w:t>
      </w:r>
      <w:r w:rsidRPr="00F5644D">
        <w:rPr>
          <w:i/>
          <w:iCs/>
          <w:kern w:val="1"/>
          <w:lang w:val="ro-RO" w:eastAsia="hi-IN" w:bidi="hi-IN"/>
        </w:rPr>
        <w:t>i aplicate în interes general de către institu</w:t>
      </w:r>
      <w:r>
        <w:rPr>
          <w:i/>
          <w:iCs/>
          <w:kern w:val="1"/>
          <w:lang w:val="ro-RO" w:eastAsia="hi-IN" w:bidi="hi-IN"/>
        </w:rPr>
        <w:t>ţ</w:t>
      </w:r>
      <w:r w:rsidRPr="00F5644D">
        <w:rPr>
          <w:i/>
          <w:iCs/>
          <w:kern w:val="1"/>
          <w:lang w:val="ro-RO" w:eastAsia="hi-IN" w:bidi="hi-IN"/>
        </w:rPr>
        <w:t>iile cărora le-a fost atribuită autoritatea necesară în acest scop</w:t>
      </w:r>
      <w:r w:rsidRPr="00F5644D">
        <w:rPr>
          <w:kern w:val="1"/>
          <w:lang w:val="ro-RO" w:eastAsia="hi-IN" w:bidi="hi-IN"/>
        </w:rPr>
        <w:t>” sunt echivalentul protec</w:t>
      </w:r>
      <w:r>
        <w:rPr>
          <w:kern w:val="1"/>
          <w:lang w:val="ro-RO" w:eastAsia="hi-IN" w:bidi="hi-IN"/>
        </w:rPr>
        <w:t>ţ</w:t>
      </w:r>
      <w:r w:rsidRPr="00F5644D">
        <w:rPr>
          <w:kern w:val="1"/>
          <w:lang w:val="ro-RO" w:eastAsia="hi-IN" w:bidi="hi-IN"/>
        </w:rPr>
        <w:t>iei secretului profesional, Curtea a afirmat în spe</w:t>
      </w:r>
      <w:r>
        <w:rPr>
          <w:kern w:val="1"/>
          <w:lang w:val="ro-RO" w:eastAsia="hi-IN" w:bidi="hi-IN"/>
        </w:rPr>
        <w:t>ţ</w:t>
      </w:r>
      <w:r w:rsidRPr="00F5644D">
        <w:rPr>
          <w:kern w:val="1"/>
          <w:lang w:val="ro-RO" w:eastAsia="hi-IN" w:bidi="hi-IN"/>
        </w:rPr>
        <w:t xml:space="preserve">a </w:t>
      </w:r>
      <w:r w:rsidRPr="00F5644D">
        <w:rPr>
          <w:i/>
          <w:iCs/>
          <w:kern w:val="1"/>
          <w:lang w:val="ro-RO" w:eastAsia="hi-IN" w:bidi="hi-IN"/>
        </w:rPr>
        <w:t xml:space="preserve">AM&amp;S </w:t>
      </w:r>
      <w:r w:rsidRPr="00F5644D">
        <w:rPr>
          <w:kern w:val="1"/>
          <w:lang w:val="ro-RO" w:eastAsia="hi-IN" w:bidi="hi-IN"/>
        </w:rPr>
        <w:t>că, pe baza criteriilor comune găsite în legisla</w:t>
      </w:r>
      <w:r>
        <w:rPr>
          <w:kern w:val="1"/>
          <w:lang w:val="ro-RO" w:eastAsia="hi-IN" w:bidi="hi-IN"/>
        </w:rPr>
        <w:t>ţ</w:t>
      </w:r>
      <w:r w:rsidRPr="00F5644D">
        <w:rPr>
          <w:kern w:val="1"/>
          <w:lang w:val="ro-RO" w:eastAsia="hi-IN" w:bidi="hi-IN"/>
        </w:rPr>
        <w:t>iile na</w:t>
      </w:r>
      <w:r>
        <w:rPr>
          <w:kern w:val="1"/>
          <w:lang w:val="ro-RO" w:eastAsia="hi-IN" w:bidi="hi-IN"/>
        </w:rPr>
        <w:t>ţ</w:t>
      </w:r>
      <w:r w:rsidRPr="00F5644D">
        <w:rPr>
          <w:kern w:val="1"/>
          <w:lang w:val="ro-RO" w:eastAsia="hi-IN" w:bidi="hi-IN"/>
        </w:rPr>
        <w:t xml:space="preserve">ionale ale statelor membre, un document ce cuprinde sfaturi juridice, transmis între avocat </w:t>
      </w:r>
      <w:r>
        <w:rPr>
          <w:kern w:val="1"/>
          <w:lang w:val="ro-RO" w:eastAsia="hi-IN" w:bidi="hi-IN"/>
        </w:rPr>
        <w:t>ş</w:t>
      </w:r>
      <w:r w:rsidRPr="00F5644D">
        <w:rPr>
          <w:kern w:val="1"/>
          <w:lang w:val="ro-RO" w:eastAsia="hi-IN" w:bidi="hi-IN"/>
        </w:rPr>
        <w:t>i client, este protejat împotriva dezvăluirii doar dacă avocatul este „independentˮ, „</w:t>
      </w:r>
      <w:r w:rsidRPr="00F5644D">
        <w:rPr>
          <w:i/>
          <w:iCs/>
          <w:kern w:val="1"/>
          <w:lang w:val="ro-RO" w:eastAsia="hi-IN" w:bidi="hi-IN"/>
        </w:rPr>
        <w:t>adică nu are obliga</w:t>
      </w:r>
      <w:r>
        <w:rPr>
          <w:i/>
          <w:iCs/>
          <w:kern w:val="1"/>
          <w:lang w:val="ro-RO" w:eastAsia="hi-IN" w:bidi="hi-IN"/>
        </w:rPr>
        <w:t>ţ</w:t>
      </w:r>
      <w:r w:rsidRPr="00F5644D">
        <w:rPr>
          <w:i/>
          <w:iCs/>
          <w:kern w:val="1"/>
          <w:lang w:val="ro-RO" w:eastAsia="hi-IN" w:bidi="hi-IN"/>
        </w:rPr>
        <w:t>ii fa</w:t>
      </w:r>
      <w:r>
        <w:rPr>
          <w:i/>
          <w:iCs/>
          <w:kern w:val="1"/>
          <w:lang w:val="ro-RO" w:eastAsia="hi-IN" w:bidi="hi-IN"/>
        </w:rPr>
        <w:t>ţ</w:t>
      </w:r>
      <w:r w:rsidRPr="00F5644D">
        <w:rPr>
          <w:i/>
          <w:iCs/>
          <w:kern w:val="1"/>
          <w:lang w:val="ro-RO" w:eastAsia="hi-IN" w:bidi="hi-IN"/>
        </w:rPr>
        <w:t>ă de client în baza unei rela</w:t>
      </w:r>
      <w:r>
        <w:rPr>
          <w:i/>
          <w:iCs/>
          <w:kern w:val="1"/>
          <w:lang w:val="ro-RO" w:eastAsia="hi-IN" w:bidi="hi-IN"/>
        </w:rPr>
        <w:t>ţ</w:t>
      </w:r>
      <w:r w:rsidRPr="00F5644D">
        <w:rPr>
          <w:i/>
          <w:iCs/>
          <w:kern w:val="1"/>
          <w:lang w:val="ro-RO" w:eastAsia="hi-IN" w:bidi="hi-IN"/>
        </w:rPr>
        <w:t>ii de muncă</w:t>
      </w:r>
      <w:r w:rsidRPr="00F5644D">
        <w:rPr>
          <w:kern w:val="1"/>
          <w:lang w:val="ro-RO" w:eastAsia="hi-IN" w:bidi="hi-IN"/>
        </w:rPr>
        <w:t>”</w:t>
      </w:r>
      <w:r w:rsidRPr="00F5644D">
        <w:rPr>
          <w:rStyle w:val="Bodytext2Italic"/>
          <w:rFonts w:eastAsia="Arial Unicode MS"/>
          <w:lang w:val="ro-RO"/>
        </w:rPr>
        <w:t>.</w:t>
      </w:r>
      <w:r w:rsidRPr="00F5644D">
        <w:rPr>
          <w:rStyle w:val="Bodytext2Italic"/>
          <w:rFonts w:eastAsia="Arial Unicode MS"/>
          <w:vertAlign w:val="superscript"/>
          <w:lang w:val="ro-RO"/>
        </w:rPr>
        <w:footnoteReference w:id="19"/>
      </w:r>
      <w:r w:rsidRPr="00F5644D">
        <w:rPr>
          <w:rStyle w:val="Bodytext2Italic"/>
          <w:rFonts w:eastAsia="Arial Unicode MS"/>
          <w:vertAlign w:val="superscript"/>
          <w:lang w:val="ro-RO"/>
        </w:rPr>
        <w:t xml:space="preserve"> </w:t>
      </w:r>
    </w:p>
    <w:p w:rsidR="006660B9" w:rsidRPr="00F5644D" w:rsidRDefault="006660B9" w:rsidP="003A16ED">
      <w:pPr>
        <w:pStyle w:val="Bodytext21"/>
        <w:shd w:val="clear" w:color="auto" w:fill="auto"/>
        <w:spacing w:before="240" w:line="276" w:lineRule="auto"/>
        <w:ind w:firstLine="0"/>
        <w:jc w:val="both"/>
        <w:rPr>
          <w:lang w:val="ro-RO"/>
        </w:rPr>
      </w:pPr>
      <w:r>
        <w:rPr>
          <w:lang w:val="ro-RO"/>
        </w:rPr>
        <w:t>Cu toate acestea</w:t>
      </w:r>
      <w:r w:rsidRPr="00F5644D">
        <w:rPr>
          <w:lang w:val="ro-RO"/>
        </w:rPr>
        <w:t xml:space="preserve">, </w:t>
      </w:r>
      <w:r>
        <w:rPr>
          <w:lang w:val="ro-RO"/>
        </w:rPr>
        <w:t>unele ţări europene permit avocaţilor</w:t>
      </w:r>
      <w:r w:rsidRPr="00F5644D">
        <w:rPr>
          <w:lang w:val="ro-RO"/>
        </w:rPr>
        <w:t xml:space="preserve"> </w:t>
      </w:r>
      <w:r>
        <w:rPr>
          <w:lang w:val="ro-RO"/>
        </w:rPr>
        <w:t>înregistraţi în cadrul unui barou sau al unei societăţi de drept să lucreze ca avocat intern pentru o societate comercială</w:t>
      </w:r>
      <w:r w:rsidRPr="00F5644D">
        <w:rPr>
          <w:lang w:val="ro-RO"/>
        </w:rPr>
        <w:t xml:space="preserve">. </w:t>
      </w:r>
      <w:r>
        <w:rPr>
          <w:lang w:val="ro-RO"/>
        </w:rPr>
        <w:t>În multe dintre aceste jurisdicţii</w:t>
      </w:r>
      <w:r w:rsidRPr="00F5644D">
        <w:rPr>
          <w:lang w:val="ro-RO"/>
        </w:rPr>
        <w:t xml:space="preserve">, </w:t>
      </w:r>
      <w:r>
        <w:rPr>
          <w:lang w:val="ro-RO"/>
        </w:rPr>
        <w:t>aceşti avocaţi se supun aceloraşi norme etice şi profesionale sau unora similare ca şi ceilalţi avocaţi şi se bucură de protecţia privilegiului profesiei juridice sau a secretului profesional, conform legislaţiei naţionale relevante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bCs/>
          <w:kern w:val="1"/>
          <w:lang w:val="ro-RO" w:eastAsia="hi-IN" w:bidi="hi-IN"/>
        </w:rPr>
        <w:t>Curtea Europeană a Drepturilor Omului</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Dreptul la confiden</w:t>
      </w:r>
      <w:r>
        <w:rPr>
          <w:bCs/>
          <w:iCs/>
          <w:kern w:val="1"/>
          <w:lang w:val="ro-RO" w:eastAsia="hi-IN" w:bidi="hi-IN"/>
        </w:rPr>
        <w:t>ţ</w:t>
      </w:r>
      <w:r w:rsidRPr="00F5644D">
        <w:rPr>
          <w:bCs/>
          <w:iCs/>
          <w:kern w:val="1"/>
          <w:lang w:val="ro-RO" w:eastAsia="hi-IN" w:bidi="hi-IN"/>
        </w:rPr>
        <w:t xml:space="preserve">ialitatea comunicărilor între avocat </w:t>
      </w:r>
      <w:r>
        <w:rPr>
          <w:bCs/>
          <w:iCs/>
          <w:kern w:val="1"/>
          <w:lang w:val="ro-RO" w:eastAsia="hi-IN" w:bidi="hi-IN"/>
        </w:rPr>
        <w:t>ş</w:t>
      </w:r>
      <w:r w:rsidRPr="00F5644D">
        <w:rPr>
          <w:bCs/>
          <w:iCs/>
          <w:kern w:val="1"/>
          <w:lang w:val="ro-RO" w:eastAsia="hi-IN" w:bidi="hi-IN"/>
        </w:rPr>
        <w:t>i client, fie în baza articolului 8 „Dreptul la respectarea vie</w:t>
      </w:r>
      <w:r>
        <w:rPr>
          <w:bCs/>
          <w:iCs/>
          <w:kern w:val="1"/>
          <w:lang w:val="ro-RO" w:eastAsia="hi-IN" w:bidi="hi-IN"/>
        </w:rPr>
        <w:t>ţ</w:t>
      </w:r>
      <w:r w:rsidRPr="00F5644D">
        <w:rPr>
          <w:bCs/>
          <w:iCs/>
          <w:kern w:val="1"/>
          <w:lang w:val="ro-RO" w:eastAsia="hi-IN" w:bidi="hi-IN"/>
        </w:rPr>
        <w:t xml:space="preserve">ii private </w:t>
      </w:r>
      <w:r>
        <w:rPr>
          <w:bCs/>
          <w:iCs/>
          <w:kern w:val="1"/>
          <w:lang w:val="ro-RO" w:eastAsia="hi-IN" w:bidi="hi-IN"/>
        </w:rPr>
        <w:t>ş</w:t>
      </w:r>
      <w:r w:rsidRPr="00F5644D">
        <w:rPr>
          <w:bCs/>
          <w:iCs/>
          <w:kern w:val="1"/>
          <w:lang w:val="ro-RO" w:eastAsia="hi-IN" w:bidi="hi-IN"/>
        </w:rPr>
        <w:t xml:space="preserve">i de familieˮ, fie în baza articolului 6 „Dreptul la un proces echitabilˮ, este recunoscut </w:t>
      </w:r>
      <w:r>
        <w:rPr>
          <w:bCs/>
          <w:iCs/>
          <w:kern w:val="1"/>
          <w:lang w:val="ro-RO" w:eastAsia="hi-IN" w:bidi="hi-IN"/>
        </w:rPr>
        <w:t>ş</w:t>
      </w:r>
      <w:r w:rsidRPr="00F5644D">
        <w:rPr>
          <w:bCs/>
          <w:iCs/>
          <w:kern w:val="1"/>
          <w:lang w:val="ro-RO" w:eastAsia="hi-IN" w:bidi="hi-IN"/>
        </w:rPr>
        <w:t>i în hotărârile CEDO</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Articolul 8 stabile</w:t>
      </w:r>
      <w:r>
        <w:rPr>
          <w:kern w:val="1"/>
          <w:lang w:val="ro-RO" w:eastAsia="hi-IN" w:bidi="hi-IN"/>
        </w:rPr>
        <w:t>ş</w:t>
      </w:r>
      <w:r w:rsidRPr="00F5644D">
        <w:rPr>
          <w:kern w:val="1"/>
          <w:lang w:val="ro-RO" w:eastAsia="hi-IN" w:bidi="hi-IN"/>
        </w:rPr>
        <w:t>te în mod clar dreptul fiecărei persoane la respectarea coresponden</w:t>
      </w:r>
      <w:r>
        <w:rPr>
          <w:kern w:val="1"/>
          <w:lang w:val="ro-RO" w:eastAsia="hi-IN" w:bidi="hi-IN"/>
        </w:rPr>
        <w:t>ţ</w:t>
      </w:r>
      <w:r w:rsidRPr="00F5644D">
        <w:rPr>
          <w:kern w:val="1"/>
          <w:lang w:val="ro-RO" w:eastAsia="hi-IN" w:bidi="hi-IN"/>
        </w:rPr>
        <w:t>ei. Protejează confiden</w:t>
      </w:r>
      <w:r>
        <w:rPr>
          <w:kern w:val="1"/>
          <w:lang w:val="ro-RO" w:eastAsia="hi-IN" w:bidi="hi-IN"/>
        </w:rPr>
        <w:t>ţ</w:t>
      </w:r>
      <w:r w:rsidRPr="00F5644D">
        <w:rPr>
          <w:kern w:val="1"/>
          <w:lang w:val="ro-RO" w:eastAsia="hi-IN" w:bidi="hi-IN"/>
        </w:rPr>
        <w:t>ialitatea comunicărilor indiferent care este con</w:t>
      </w:r>
      <w:r>
        <w:rPr>
          <w:kern w:val="1"/>
          <w:lang w:val="ro-RO" w:eastAsia="hi-IN" w:bidi="hi-IN"/>
        </w:rPr>
        <w:t>ţ</w:t>
      </w:r>
      <w:r w:rsidRPr="00F5644D">
        <w:rPr>
          <w:kern w:val="1"/>
          <w:lang w:val="ro-RO" w:eastAsia="hi-IN" w:bidi="hi-IN"/>
        </w:rPr>
        <w:t>inutul coresponden</w:t>
      </w:r>
      <w:r>
        <w:rPr>
          <w:kern w:val="1"/>
          <w:lang w:val="ro-RO" w:eastAsia="hi-IN" w:bidi="hi-IN"/>
        </w:rPr>
        <w:t>ţ</w:t>
      </w:r>
      <w:r w:rsidRPr="00F5644D">
        <w:rPr>
          <w:kern w:val="1"/>
          <w:lang w:val="ro-RO" w:eastAsia="hi-IN" w:bidi="hi-IN"/>
        </w:rPr>
        <w:t xml:space="preserve">ei în cauză </w:t>
      </w:r>
      <w:r>
        <w:rPr>
          <w:kern w:val="1"/>
          <w:lang w:val="ro-RO" w:eastAsia="hi-IN" w:bidi="hi-IN"/>
        </w:rPr>
        <w:t>ş</w:t>
      </w:r>
      <w:r w:rsidRPr="00F5644D">
        <w:rPr>
          <w:kern w:val="1"/>
          <w:lang w:val="ro-RO" w:eastAsia="hi-IN" w:bidi="hi-IN"/>
        </w:rPr>
        <w:t>i indiferent ce formă ar avea acestea. Orice ingerin</w:t>
      </w:r>
      <w:r>
        <w:rPr>
          <w:kern w:val="1"/>
          <w:lang w:val="ro-RO" w:eastAsia="hi-IN" w:bidi="hi-IN"/>
        </w:rPr>
        <w:t>ţ</w:t>
      </w:r>
      <w:r w:rsidRPr="00F5644D">
        <w:rPr>
          <w:kern w:val="1"/>
          <w:lang w:val="ro-RO" w:eastAsia="hi-IN" w:bidi="hi-IN"/>
        </w:rPr>
        <w:t xml:space="preserve">ă trebuie să fie în conformitate cu legea, să urmărească un scop legitim </w:t>
      </w:r>
      <w:r>
        <w:rPr>
          <w:kern w:val="1"/>
          <w:lang w:val="ro-RO" w:eastAsia="hi-IN" w:bidi="hi-IN"/>
        </w:rPr>
        <w:t>ş</w:t>
      </w:r>
      <w:r w:rsidRPr="00F5644D">
        <w:rPr>
          <w:kern w:val="1"/>
          <w:lang w:val="ro-RO" w:eastAsia="hi-IN" w:bidi="hi-IN"/>
        </w:rPr>
        <w:t>i să fie o măsură necesară, într-o societate democratică, în vederea îndeplinirii scopului respectiv. Ultima cerinţă a fost avută în vedere de către Curte în numeroase decizii. Cu toate acestea, trebuie menţionat că</w:t>
      </w:r>
      <w:r>
        <w:rPr>
          <w:kern w:val="1"/>
          <w:lang w:val="ro-RO" w:eastAsia="hi-IN" w:bidi="hi-IN"/>
        </w:rPr>
        <w:t>,</w:t>
      </w:r>
      <w:r w:rsidRPr="00F5644D">
        <w:rPr>
          <w:kern w:val="1"/>
          <w:lang w:val="ro-RO" w:eastAsia="hi-IN" w:bidi="hi-IN"/>
        </w:rPr>
        <w:t xml:space="preserve"> deşi dreptul prevăzut la articolul 8 în această privinţă este confirmat ca aplicabil în maniera descrisă mai sus, dreptul prevăzut la articolul 6 nu este confirmat</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bCs/>
          <w:iCs/>
          <w:kern w:val="1"/>
          <w:lang w:val="ro-RO" w:eastAsia="hi-IN" w:bidi="hi-IN"/>
        </w:rPr>
        <w:t>Jurisprudenţa CEDO referitoare la confidenţialitatea comunicării între client şi avocat este foarte bogată şi s-a dezvoltat în mod constant de-a lungul anilor. Facem trimitere la câteva</w:t>
      </w:r>
      <w:r w:rsidRPr="00F5644D">
        <w:rPr>
          <w:lang w:val="ro-RO"/>
        </w:rPr>
        <w:t xml:space="preserve"> </w:t>
      </w:r>
      <w:r w:rsidRPr="00F5644D">
        <w:rPr>
          <w:bCs/>
          <w:iCs/>
          <w:kern w:val="1"/>
          <w:lang w:val="ro-RO" w:eastAsia="hi-IN" w:bidi="hi-IN"/>
        </w:rPr>
        <w:t>decizii esen</w:t>
      </w:r>
      <w:r>
        <w:rPr>
          <w:bCs/>
          <w:iCs/>
          <w:kern w:val="1"/>
          <w:lang w:val="ro-RO" w:eastAsia="hi-IN" w:bidi="hi-IN"/>
        </w:rPr>
        <w:t>ţ</w:t>
      </w:r>
      <w:r w:rsidRPr="00F5644D">
        <w:rPr>
          <w:bCs/>
          <w:iCs/>
          <w:kern w:val="1"/>
          <w:lang w:val="ro-RO" w:eastAsia="hi-IN" w:bidi="hi-IN"/>
        </w:rPr>
        <w:t>iale ce prevăd principiile generale ce trebuie respectate atunci când este vorba despre relaţia avocat-client</w:t>
      </w:r>
      <w:r w:rsidRPr="00F5644D">
        <w:rPr>
          <w:lang w:val="ro-RO"/>
        </w:rPr>
        <w:t>:</w:t>
      </w:r>
    </w:p>
    <w:p w:rsidR="006660B9" w:rsidRPr="00F5644D" w:rsidRDefault="006660B9" w:rsidP="003A16ED">
      <w:pPr>
        <w:pStyle w:val="Bodytext31"/>
        <w:numPr>
          <w:ilvl w:val="0"/>
          <w:numId w:val="3"/>
        </w:numPr>
        <w:shd w:val="clear" w:color="auto" w:fill="auto"/>
        <w:spacing w:before="240" w:line="276" w:lineRule="auto"/>
        <w:ind w:left="360"/>
        <w:rPr>
          <w:lang w:val="ro-RO"/>
        </w:rPr>
      </w:pPr>
      <w:r w:rsidRPr="00F5644D">
        <w:rPr>
          <w:lang w:val="ro-RO"/>
        </w:rPr>
        <w:t xml:space="preserve">“(...) </w:t>
      </w:r>
      <w:r w:rsidRPr="00F5644D">
        <w:rPr>
          <w:kern w:val="1"/>
          <w:lang w:val="ro-RO" w:eastAsia="hi-IN" w:bidi="hi-IN"/>
        </w:rPr>
        <w:t xml:space="preserve">Dacă un avocat nu poate să se consulte cu clientul său </w:t>
      </w:r>
      <w:r>
        <w:rPr>
          <w:kern w:val="1"/>
          <w:lang w:val="ro-RO" w:eastAsia="hi-IN" w:bidi="hi-IN"/>
        </w:rPr>
        <w:t>ş</w:t>
      </w:r>
      <w:r w:rsidRPr="00F5644D">
        <w:rPr>
          <w:kern w:val="1"/>
          <w:lang w:val="ro-RO" w:eastAsia="hi-IN" w:bidi="hi-IN"/>
        </w:rPr>
        <w:t>i să primească instruc</w:t>
      </w:r>
      <w:r>
        <w:rPr>
          <w:kern w:val="1"/>
          <w:lang w:val="ro-RO" w:eastAsia="hi-IN" w:bidi="hi-IN"/>
        </w:rPr>
        <w:t>ţ</w:t>
      </w:r>
      <w:r w:rsidRPr="00F5644D">
        <w:rPr>
          <w:kern w:val="1"/>
          <w:lang w:val="ro-RO" w:eastAsia="hi-IN" w:bidi="hi-IN"/>
        </w:rPr>
        <w:t>iuni confiden</w:t>
      </w:r>
      <w:r>
        <w:rPr>
          <w:kern w:val="1"/>
          <w:lang w:val="ro-RO" w:eastAsia="hi-IN" w:bidi="hi-IN"/>
        </w:rPr>
        <w:t>ţ</w:t>
      </w:r>
      <w:r w:rsidRPr="00F5644D">
        <w:rPr>
          <w:kern w:val="1"/>
          <w:lang w:val="ro-RO" w:eastAsia="hi-IN" w:bidi="hi-IN"/>
        </w:rPr>
        <w:t>iale de la acesta fără o astfel de supraveghere, asisten</w:t>
      </w:r>
      <w:r>
        <w:rPr>
          <w:kern w:val="1"/>
          <w:lang w:val="ro-RO" w:eastAsia="hi-IN" w:bidi="hi-IN"/>
        </w:rPr>
        <w:t>ţ</w:t>
      </w:r>
      <w:r w:rsidRPr="00F5644D">
        <w:rPr>
          <w:kern w:val="1"/>
          <w:lang w:val="ro-RO" w:eastAsia="hi-IN" w:bidi="hi-IN"/>
        </w:rPr>
        <w:t>a pe care o oferă î</w:t>
      </w:r>
      <w:r>
        <w:rPr>
          <w:kern w:val="1"/>
          <w:lang w:val="ro-RO" w:eastAsia="hi-IN" w:bidi="hi-IN"/>
        </w:rPr>
        <w:t>ş</w:t>
      </w:r>
      <w:r w:rsidRPr="00F5644D">
        <w:rPr>
          <w:kern w:val="1"/>
          <w:lang w:val="ro-RO" w:eastAsia="hi-IN" w:bidi="hi-IN"/>
        </w:rPr>
        <w:t>i pierde o mare parte din utilitate, în condi</w:t>
      </w:r>
      <w:r>
        <w:rPr>
          <w:kern w:val="1"/>
          <w:lang w:val="ro-RO" w:eastAsia="hi-IN" w:bidi="hi-IN"/>
        </w:rPr>
        <w:t>ţ</w:t>
      </w:r>
      <w:r w:rsidRPr="00F5644D">
        <w:rPr>
          <w:kern w:val="1"/>
          <w:lang w:val="ro-RO" w:eastAsia="hi-IN" w:bidi="hi-IN"/>
        </w:rPr>
        <w:t>iile în care rolul Conven</w:t>
      </w:r>
      <w:r>
        <w:rPr>
          <w:kern w:val="1"/>
          <w:lang w:val="ro-RO" w:eastAsia="hi-IN" w:bidi="hi-IN"/>
        </w:rPr>
        <w:t>ţ</w:t>
      </w:r>
      <w:r w:rsidRPr="00F5644D">
        <w:rPr>
          <w:kern w:val="1"/>
          <w:lang w:val="ro-RO" w:eastAsia="hi-IN" w:bidi="hi-IN"/>
        </w:rPr>
        <w:t xml:space="preserve">iei este de a garanta drepturile practice </w:t>
      </w:r>
      <w:r>
        <w:rPr>
          <w:kern w:val="1"/>
          <w:lang w:val="ro-RO" w:eastAsia="hi-IN" w:bidi="hi-IN"/>
        </w:rPr>
        <w:t>ş</w:t>
      </w:r>
      <w:r w:rsidRPr="00F5644D">
        <w:rPr>
          <w:kern w:val="1"/>
          <w:lang w:val="ro-RO" w:eastAsia="hi-IN" w:bidi="hi-IN"/>
        </w:rPr>
        <w:t xml:space="preserve">i efective </w:t>
      </w:r>
      <w:r w:rsidRPr="00F5644D">
        <w:rPr>
          <w:lang w:val="ro-RO"/>
        </w:rPr>
        <w:t>(...).”</w:t>
      </w:r>
      <w:r w:rsidRPr="00F5644D">
        <w:rPr>
          <w:rStyle w:val="Bodytext2Italic"/>
          <w:rFonts w:eastAsia="Arial Unicode MS"/>
          <w:vertAlign w:val="superscript"/>
          <w:lang w:val="ro-RO"/>
        </w:rPr>
        <w:footnoteReference w:id="20"/>
      </w:r>
    </w:p>
    <w:p w:rsidR="006660B9" w:rsidRPr="00F5644D" w:rsidRDefault="006660B9" w:rsidP="003A16ED">
      <w:pPr>
        <w:pStyle w:val="Bodytext31"/>
        <w:numPr>
          <w:ilvl w:val="0"/>
          <w:numId w:val="3"/>
        </w:numPr>
        <w:shd w:val="clear" w:color="auto" w:fill="auto"/>
        <w:spacing w:before="240" w:line="276" w:lineRule="auto"/>
        <w:ind w:left="360"/>
        <w:rPr>
          <w:lang w:val="ro-RO"/>
        </w:rPr>
      </w:pPr>
      <w:r w:rsidRPr="00F5644D">
        <w:rPr>
          <w:lang w:val="ro-RO"/>
        </w:rPr>
        <w:t>“</w:t>
      </w:r>
      <w:r>
        <w:rPr>
          <w:lang w:val="ro-RO"/>
        </w:rPr>
        <w:t>Interceptarea conversaţiilor dintre avocat şi clientul acestuia subminează</w:t>
      </w:r>
      <w:r w:rsidRPr="00F5644D">
        <w:rPr>
          <w:lang w:val="ro-RO"/>
        </w:rPr>
        <w:t xml:space="preserve"> </w:t>
      </w:r>
      <w:r>
        <w:rPr>
          <w:lang w:val="ro-RO"/>
        </w:rPr>
        <w:t>în mod incontestabil</w:t>
      </w:r>
      <w:r w:rsidRPr="00F5644D">
        <w:rPr>
          <w:lang w:val="ro-RO"/>
        </w:rPr>
        <w:t xml:space="preserve"> </w:t>
      </w:r>
      <w:r>
        <w:rPr>
          <w:lang w:val="ro-RO"/>
        </w:rPr>
        <w:t>secretul profesional</w:t>
      </w:r>
      <w:r w:rsidRPr="00F5644D">
        <w:rPr>
          <w:lang w:val="ro-RO"/>
        </w:rPr>
        <w:t xml:space="preserve">, </w:t>
      </w:r>
      <w:r>
        <w:rPr>
          <w:lang w:val="ro-RO"/>
        </w:rPr>
        <w:t>care constituie baza relaţiei de încredere dintre aceştia</w:t>
      </w:r>
      <w:r w:rsidRPr="00F5644D">
        <w:rPr>
          <w:lang w:val="ro-RO"/>
        </w:rPr>
        <w:t>”</w:t>
      </w:r>
      <w:r w:rsidRPr="00F5644D">
        <w:rPr>
          <w:vertAlign w:val="superscript"/>
          <w:lang w:val="ro-RO"/>
        </w:rPr>
        <w:footnoteReference w:id="21"/>
      </w:r>
    </w:p>
    <w:p w:rsidR="006660B9" w:rsidRPr="00F5644D" w:rsidRDefault="006660B9" w:rsidP="003A16ED">
      <w:pPr>
        <w:pStyle w:val="Bodytext31"/>
        <w:numPr>
          <w:ilvl w:val="0"/>
          <w:numId w:val="3"/>
        </w:numPr>
        <w:shd w:val="clear" w:color="auto" w:fill="auto"/>
        <w:spacing w:before="240" w:line="276" w:lineRule="auto"/>
        <w:ind w:left="360"/>
        <w:rPr>
          <w:lang w:val="ro-RO"/>
        </w:rPr>
      </w:pPr>
      <w:r w:rsidRPr="00F5644D">
        <w:rPr>
          <w:lang w:val="ro-RO"/>
        </w:rPr>
        <w:t xml:space="preserve">“(...) </w:t>
      </w:r>
      <w:r w:rsidRPr="00F5644D">
        <w:rPr>
          <w:kern w:val="1"/>
          <w:lang w:val="ro-RO" w:eastAsia="hi-IN" w:bidi="hi-IN"/>
        </w:rPr>
        <w:t>în această privin</w:t>
      </w:r>
      <w:r>
        <w:rPr>
          <w:kern w:val="1"/>
          <w:lang w:val="ro-RO" w:eastAsia="hi-IN" w:bidi="hi-IN"/>
        </w:rPr>
        <w:t>ţ</w:t>
      </w:r>
      <w:r w:rsidRPr="00F5644D">
        <w:rPr>
          <w:kern w:val="1"/>
          <w:lang w:val="ro-RO" w:eastAsia="hi-IN" w:bidi="hi-IN"/>
        </w:rPr>
        <w:t>ă, trebuie reamintit faptul că, atunci când este implicat un avocat, încălcarea secretului profesional poate avea repercusiuni asupra administrării adecvate a justi</w:t>
      </w:r>
      <w:r>
        <w:rPr>
          <w:kern w:val="1"/>
          <w:lang w:val="ro-RO" w:eastAsia="hi-IN" w:bidi="hi-IN"/>
        </w:rPr>
        <w:t>ţ</w:t>
      </w:r>
      <w:r w:rsidRPr="00F5644D">
        <w:rPr>
          <w:kern w:val="1"/>
          <w:lang w:val="ro-RO" w:eastAsia="hi-IN" w:bidi="hi-IN"/>
        </w:rPr>
        <w:t xml:space="preserve">iei </w:t>
      </w:r>
      <w:r>
        <w:rPr>
          <w:kern w:val="1"/>
          <w:lang w:val="ro-RO" w:eastAsia="hi-IN" w:bidi="hi-IN"/>
        </w:rPr>
        <w:t>ş</w:t>
      </w:r>
      <w:r w:rsidRPr="00F5644D">
        <w:rPr>
          <w:kern w:val="1"/>
          <w:lang w:val="ro-RO" w:eastAsia="hi-IN" w:bidi="hi-IN"/>
        </w:rPr>
        <w:t>i prin urmare asupra drepturilor garantate de articolul 6 din Conven</w:t>
      </w:r>
      <w:r>
        <w:rPr>
          <w:kern w:val="1"/>
          <w:lang w:val="ro-RO" w:eastAsia="hi-IN" w:bidi="hi-IN"/>
        </w:rPr>
        <w:t>ţ</w:t>
      </w:r>
      <w:r w:rsidRPr="00F5644D">
        <w:rPr>
          <w:kern w:val="1"/>
          <w:lang w:val="ro-RO" w:eastAsia="hi-IN" w:bidi="hi-IN"/>
        </w:rPr>
        <w:t>ie</w:t>
      </w:r>
      <w:r w:rsidRPr="00F5644D">
        <w:rPr>
          <w:lang w:val="ro-RO"/>
        </w:rPr>
        <w:t>. (...)”.</w:t>
      </w:r>
      <w:r w:rsidRPr="00F5644D">
        <w:rPr>
          <w:rStyle w:val="Bodytext2Italic"/>
          <w:rFonts w:eastAsia="Arial Unicode MS"/>
          <w:vertAlign w:val="superscript"/>
          <w:lang w:val="ro-RO"/>
        </w:rPr>
        <w:footnoteReference w:id="22"/>
      </w:r>
    </w:p>
    <w:p w:rsidR="006660B9" w:rsidRPr="00F5644D" w:rsidRDefault="006660B9" w:rsidP="003A16ED">
      <w:pPr>
        <w:pStyle w:val="Bodytext31"/>
        <w:numPr>
          <w:ilvl w:val="0"/>
          <w:numId w:val="3"/>
        </w:numPr>
        <w:shd w:val="clear" w:color="auto" w:fill="auto"/>
        <w:spacing w:before="240" w:line="276" w:lineRule="auto"/>
        <w:ind w:left="360"/>
        <w:rPr>
          <w:lang w:val="ro-RO"/>
        </w:rPr>
      </w:pPr>
      <w:r w:rsidRPr="00F5644D">
        <w:rPr>
          <w:lang w:val="ro-RO"/>
        </w:rPr>
        <w:t>“</w:t>
      </w:r>
      <w:r w:rsidRPr="00F5644D">
        <w:rPr>
          <w:kern w:val="1"/>
          <w:lang w:val="ro-RO" w:eastAsia="hi-IN" w:bidi="hi-IN"/>
        </w:rPr>
        <w:t>Mai presus de orice, în practică, este cel pu</w:t>
      </w:r>
      <w:r>
        <w:rPr>
          <w:kern w:val="1"/>
          <w:lang w:val="ro-RO" w:eastAsia="hi-IN" w:bidi="hi-IN"/>
        </w:rPr>
        <w:t>ţ</w:t>
      </w:r>
      <w:r w:rsidRPr="00F5644D">
        <w:rPr>
          <w:kern w:val="1"/>
          <w:lang w:val="ro-RO" w:eastAsia="hi-IN" w:bidi="hi-IN"/>
        </w:rPr>
        <w:t>in uimitor cum această sarcină ar trebui atribuită unui func</w:t>
      </w:r>
      <w:r>
        <w:rPr>
          <w:kern w:val="1"/>
          <w:lang w:val="ro-RO" w:eastAsia="hi-IN" w:bidi="hi-IN"/>
        </w:rPr>
        <w:t>ţ</w:t>
      </w:r>
      <w:r w:rsidRPr="00F5644D">
        <w:rPr>
          <w:kern w:val="1"/>
          <w:lang w:val="ro-RO" w:eastAsia="hi-IN" w:bidi="hi-IN"/>
        </w:rPr>
        <w:t>ionar al departamentului juridic al Oficiului Po</w:t>
      </w:r>
      <w:r>
        <w:rPr>
          <w:kern w:val="1"/>
          <w:lang w:val="ro-RO" w:eastAsia="hi-IN" w:bidi="hi-IN"/>
        </w:rPr>
        <w:t>ş</w:t>
      </w:r>
      <w:r w:rsidRPr="00F5644D">
        <w:rPr>
          <w:kern w:val="1"/>
          <w:lang w:val="ro-RO" w:eastAsia="hi-IN" w:bidi="hi-IN"/>
        </w:rPr>
        <w:t>tal care este membru al guvernului, fără supravegherea unui judecător independent, în special în domeniul sensibil al rela</w:t>
      </w:r>
      <w:r>
        <w:rPr>
          <w:kern w:val="1"/>
          <w:lang w:val="ro-RO" w:eastAsia="hi-IN" w:bidi="hi-IN"/>
        </w:rPr>
        <w:t>ţ</w:t>
      </w:r>
      <w:r w:rsidRPr="00F5644D">
        <w:rPr>
          <w:kern w:val="1"/>
          <w:lang w:val="ro-RO" w:eastAsia="hi-IN" w:bidi="hi-IN"/>
        </w:rPr>
        <w:t>iilor confiden</w:t>
      </w:r>
      <w:r>
        <w:rPr>
          <w:kern w:val="1"/>
          <w:lang w:val="ro-RO" w:eastAsia="hi-IN" w:bidi="hi-IN"/>
        </w:rPr>
        <w:t>ţ</w:t>
      </w:r>
      <w:r w:rsidRPr="00F5644D">
        <w:rPr>
          <w:kern w:val="1"/>
          <w:lang w:val="ro-RO" w:eastAsia="hi-IN" w:bidi="hi-IN"/>
        </w:rPr>
        <w:t xml:space="preserve">iale dintre un avocat </w:t>
      </w:r>
      <w:r>
        <w:rPr>
          <w:kern w:val="1"/>
          <w:lang w:val="ro-RO" w:eastAsia="hi-IN" w:bidi="hi-IN"/>
        </w:rPr>
        <w:t>ş</w:t>
      </w:r>
      <w:r w:rsidRPr="00F5644D">
        <w:rPr>
          <w:kern w:val="1"/>
          <w:lang w:val="ro-RO" w:eastAsia="hi-IN" w:bidi="hi-IN"/>
        </w:rPr>
        <w:t>i clien</w:t>
      </w:r>
      <w:r>
        <w:rPr>
          <w:kern w:val="1"/>
          <w:lang w:val="ro-RO" w:eastAsia="hi-IN" w:bidi="hi-IN"/>
        </w:rPr>
        <w:t>ţ</w:t>
      </w:r>
      <w:r w:rsidRPr="00F5644D">
        <w:rPr>
          <w:kern w:val="1"/>
          <w:lang w:val="ro-RO" w:eastAsia="hi-IN" w:bidi="hi-IN"/>
        </w:rPr>
        <w:t>ii săi, care vizează direct drepturile la apărare</w:t>
      </w:r>
      <w:r w:rsidRPr="00F5644D">
        <w:rPr>
          <w:lang w:val="ro-RO"/>
        </w:rPr>
        <w:t>.”</w:t>
      </w:r>
      <w:r w:rsidRPr="00F5644D">
        <w:rPr>
          <w:rStyle w:val="Bodytext2Italic"/>
          <w:rFonts w:eastAsia="Arial Unicode MS"/>
          <w:vertAlign w:val="superscript"/>
          <w:lang w:val="ro-RO"/>
        </w:rPr>
        <w:t xml:space="preserve"> </w:t>
      </w:r>
      <w:r w:rsidRPr="00F5644D">
        <w:rPr>
          <w:rStyle w:val="Bodytext2Italic"/>
          <w:rFonts w:eastAsia="Arial Unicode MS"/>
          <w:vertAlign w:val="superscript"/>
          <w:lang w:val="ro-RO"/>
        </w:rPr>
        <w:footnoteReference w:id="23"/>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spe</w:t>
      </w:r>
      <w:r>
        <w:rPr>
          <w:kern w:val="1"/>
          <w:lang w:val="ro-RO" w:eastAsia="hi-IN" w:bidi="hi-IN"/>
        </w:rPr>
        <w:t>ţ</w:t>
      </w:r>
      <w:r w:rsidRPr="00F5644D">
        <w:rPr>
          <w:kern w:val="1"/>
          <w:lang w:val="ro-RO" w:eastAsia="hi-IN" w:bidi="hi-IN"/>
        </w:rPr>
        <w:t>a</w:t>
      </w:r>
      <w:hyperlink r:id="rId10" w:history="1">
        <w:r w:rsidRPr="00F5644D">
          <w:rPr>
            <w:lang w:val="ro-RO"/>
          </w:rPr>
          <w:t xml:space="preserve"> </w:t>
        </w:r>
        <w:r>
          <w:rPr>
            <w:rStyle w:val="Bodytext2Italic"/>
            <w:rFonts w:eastAsia="Arial Unicode MS"/>
            <w:lang w:val="ro-RO"/>
          </w:rPr>
          <w:t xml:space="preserve">Foxley împotriva </w:t>
        </w:r>
        <w:r w:rsidRPr="00F5644D">
          <w:rPr>
            <w:rStyle w:val="Bodytext2Italic"/>
            <w:rFonts w:eastAsia="Arial Unicode MS"/>
            <w:lang w:val="ro-RO"/>
          </w:rPr>
          <w:t>Regatul</w:t>
        </w:r>
        <w:r>
          <w:rPr>
            <w:rStyle w:val="Bodytext2Italic"/>
            <w:rFonts w:eastAsia="Arial Unicode MS"/>
            <w:lang w:val="ro-RO"/>
          </w:rPr>
          <w:t>ui</w:t>
        </w:r>
        <w:r w:rsidRPr="00F5644D">
          <w:rPr>
            <w:rStyle w:val="Bodytext2Italic"/>
            <w:rFonts w:eastAsia="Arial Unicode MS"/>
            <w:lang w:val="ro-RO"/>
          </w:rPr>
          <w:t xml:space="preserve"> Unit</w:t>
        </w:r>
        <w:r w:rsidRPr="00F5644D">
          <w:rPr>
            <w:rStyle w:val="Bodytext2Italic"/>
            <w:rFonts w:eastAsia="Arial Unicode MS"/>
            <w:vertAlign w:val="superscript"/>
            <w:lang w:val="ro-RO"/>
          </w:rPr>
          <w:footnoteReference w:id="24"/>
        </w:r>
      </w:hyperlink>
      <w:r w:rsidRPr="00F5644D">
        <w:rPr>
          <w:rStyle w:val="Bodytext2Italic"/>
          <w:rFonts w:eastAsia="Arial Unicode MS"/>
          <w:lang w:val="ro-RO"/>
        </w:rPr>
        <w:t>,</w:t>
      </w:r>
      <w:r w:rsidRPr="00F5644D">
        <w:rPr>
          <w:lang w:val="ro-RO"/>
        </w:rPr>
        <w:t xml:space="preserve"> </w:t>
      </w:r>
      <w:r w:rsidRPr="00F5644D">
        <w:rPr>
          <w:bCs/>
          <w:iCs/>
          <w:kern w:val="1"/>
          <w:lang w:val="ro-RO" w:eastAsia="hi-IN" w:bidi="hi-IN"/>
        </w:rPr>
        <w:t>care prezintă un interes deosebit în ceea ce prive</w:t>
      </w:r>
      <w:r>
        <w:rPr>
          <w:bCs/>
          <w:iCs/>
          <w:kern w:val="1"/>
          <w:lang w:val="ro-RO" w:eastAsia="hi-IN" w:bidi="hi-IN"/>
        </w:rPr>
        <w:t>ş</w:t>
      </w:r>
      <w:r w:rsidRPr="00F5644D">
        <w:rPr>
          <w:bCs/>
          <w:iCs/>
          <w:kern w:val="1"/>
          <w:lang w:val="ro-RO" w:eastAsia="hi-IN" w:bidi="hi-IN"/>
        </w:rPr>
        <w:t>te comunicările între avoca</w:t>
      </w:r>
      <w:r>
        <w:rPr>
          <w:bCs/>
          <w:iCs/>
          <w:kern w:val="1"/>
          <w:lang w:val="ro-RO" w:eastAsia="hi-IN" w:bidi="hi-IN"/>
        </w:rPr>
        <w:t>ţ</w:t>
      </w:r>
      <w:r w:rsidRPr="00F5644D">
        <w:rPr>
          <w:bCs/>
          <w:iCs/>
          <w:kern w:val="1"/>
          <w:lang w:val="ro-RO" w:eastAsia="hi-IN" w:bidi="hi-IN"/>
        </w:rPr>
        <w:t xml:space="preserve">i </w:t>
      </w:r>
      <w:r>
        <w:rPr>
          <w:bCs/>
          <w:iCs/>
          <w:kern w:val="1"/>
          <w:lang w:val="ro-RO" w:eastAsia="hi-IN" w:bidi="hi-IN"/>
        </w:rPr>
        <w:t>ş</w:t>
      </w:r>
      <w:r w:rsidRPr="00F5644D">
        <w:rPr>
          <w:bCs/>
          <w:iCs/>
          <w:kern w:val="1"/>
          <w:lang w:val="ro-RO" w:eastAsia="hi-IN" w:bidi="hi-IN"/>
        </w:rPr>
        <w:t>i clien</w:t>
      </w:r>
      <w:r>
        <w:rPr>
          <w:bCs/>
          <w:iCs/>
          <w:kern w:val="1"/>
          <w:lang w:val="ro-RO" w:eastAsia="hi-IN" w:bidi="hi-IN"/>
        </w:rPr>
        <w:t>ţ</w:t>
      </w:r>
      <w:r w:rsidRPr="00F5644D">
        <w:rPr>
          <w:bCs/>
          <w:iCs/>
          <w:kern w:val="1"/>
          <w:lang w:val="ro-RO" w:eastAsia="hi-IN" w:bidi="hi-IN"/>
        </w:rPr>
        <w:t>i, Curtea a hotărât că a avut loc o încălcare a articolului 8 prin interceptarea coresponden</w:t>
      </w:r>
      <w:r>
        <w:rPr>
          <w:bCs/>
          <w:iCs/>
          <w:kern w:val="1"/>
          <w:lang w:val="ro-RO" w:eastAsia="hi-IN" w:bidi="hi-IN"/>
        </w:rPr>
        <w:t>ţ</w:t>
      </w:r>
      <w:r w:rsidRPr="00F5644D">
        <w:rPr>
          <w:bCs/>
          <w:iCs/>
          <w:kern w:val="1"/>
          <w:lang w:val="ro-RO" w:eastAsia="hi-IN" w:bidi="hi-IN"/>
        </w:rPr>
        <w:t xml:space="preserve">ei între reclamantă </w:t>
      </w:r>
      <w:r>
        <w:rPr>
          <w:bCs/>
          <w:iCs/>
          <w:kern w:val="1"/>
          <w:lang w:val="ro-RO" w:eastAsia="hi-IN" w:bidi="hi-IN"/>
        </w:rPr>
        <w:t>ş</w:t>
      </w:r>
      <w:r w:rsidRPr="00F5644D">
        <w:rPr>
          <w:bCs/>
          <w:iCs/>
          <w:kern w:val="1"/>
          <w:lang w:val="ro-RO" w:eastAsia="hi-IN" w:bidi="hi-IN"/>
        </w:rPr>
        <w:t>i avoca</w:t>
      </w:r>
      <w:r>
        <w:rPr>
          <w:bCs/>
          <w:iCs/>
          <w:kern w:val="1"/>
          <w:lang w:val="ro-RO" w:eastAsia="hi-IN" w:bidi="hi-IN"/>
        </w:rPr>
        <w:t>ţ</w:t>
      </w:r>
      <w:r w:rsidRPr="00F5644D">
        <w:rPr>
          <w:bCs/>
          <w:iCs/>
          <w:kern w:val="1"/>
          <w:lang w:val="ro-RO" w:eastAsia="hi-IN" w:bidi="hi-IN"/>
        </w:rPr>
        <w:t>ii săi</w:t>
      </w:r>
      <w:r w:rsidRPr="00F5644D">
        <w:rPr>
          <w:kern w:val="1"/>
          <w:lang w:val="ro-RO" w:eastAsia="hi-IN" w:bidi="hi-IN"/>
        </w:rPr>
        <w:t>. În această cauză, Curtea a eviden</w:t>
      </w:r>
      <w:r>
        <w:rPr>
          <w:kern w:val="1"/>
          <w:lang w:val="ro-RO" w:eastAsia="hi-IN" w:bidi="hi-IN"/>
        </w:rPr>
        <w:t>ţ</w:t>
      </w:r>
      <w:r w:rsidRPr="00F5644D">
        <w:rPr>
          <w:kern w:val="1"/>
          <w:lang w:val="ro-RO" w:eastAsia="hi-IN" w:bidi="hi-IN"/>
        </w:rPr>
        <w:t>iat necesitatea unor garan</w:t>
      </w:r>
      <w:r>
        <w:rPr>
          <w:kern w:val="1"/>
          <w:lang w:val="ro-RO" w:eastAsia="hi-IN" w:bidi="hi-IN"/>
        </w:rPr>
        <w:t>ţ</w:t>
      </w:r>
      <w:r w:rsidRPr="00F5644D">
        <w:rPr>
          <w:kern w:val="1"/>
          <w:lang w:val="ro-RO" w:eastAsia="hi-IN" w:bidi="hi-IN"/>
        </w:rPr>
        <w:t>ii eficace</w:t>
      </w:r>
      <w:r w:rsidRPr="00F5644D">
        <w:rPr>
          <w:rStyle w:val="Bodytext2Italic"/>
          <w:rFonts w:eastAsia="Arial Unicode MS"/>
          <w:vertAlign w:val="superscript"/>
          <w:lang w:val="ro-RO"/>
        </w:rPr>
        <w:footnoteReference w:id="25"/>
      </w:r>
      <w:r w:rsidRPr="00F5644D">
        <w:rPr>
          <w:lang w:val="ro-RO"/>
        </w:rPr>
        <w:t xml:space="preserve"> </w:t>
      </w:r>
      <w:r w:rsidRPr="00F5644D">
        <w:rPr>
          <w:kern w:val="1"/>
          <w:lang w:val="ro-RO" w:eastAsia="hi-IN" w:bidi="hi-IN"/>
        </w:rPr>
        <w:t>care să asigure încălcarea minimă a dreptului la respectarea coresponden</w:t>
      </w:r>
      <w:r>
        <w:rPr>
          <w:kern w:val="1"/>
          <w:lang w:val="ro-RO" w:eastAsia="hi-IN" w:bidi="hi-IN"/>
        </w:rPr>
        <w:t>ţ</w:t>
      </w:r>
      <w:r w:rsidRPr="00F5644D">
        <w:rPr>
          <w:kern w:val="1"/>
          <w:lang w:val="ro-RO" w:eastAsia="hi-IN" w:bidi="hi-IN"/>
        </w:rPr>
        <w:t xml:space="preserve">ei </w:t>
      </w:r>
      <w:r>
        <w:rPr>
          <w:kern w:val="1"/>
          <w:lang w:val="ro-RO" w:eastAsia="hi-IN" w:bidi="hi-IN"/>
        </w:rPr>
        <w:t>ş</w:t>
      </w:r>
      <w:r w:rsidRPr="00F5644D">
        <w:rPr>
          <w:kern w:val="1"/>
          <w:lang w:val="ro-RO" w:eastAsia="hi-IN" w:bidi="hi-IN"/>
        </w:rPr>
        <w:t>i a reamintit, de asemenea, că rela</w:t>
      </w:r>
      <w:r>
        <w:rPr>
          <w:kern w:val="1"/>
          <w:lang w:val="ro-RO" w:eastAsia="hi-IN" w:bidi="hi-IN"/>
        </w:rPr>
        <w:t>ţ</w:t>
      </w:r>
      <w:r w:rsidRPr="00F5644D">
        <w:rPr>
          <w:kern w:val="1"/>
          <w:lang w:val="ro-RO" w:eastAsia="hi-IN" w:bidi="hi-IN"/>
        </w:rPr>
        <w:t>ia avocat-client este, în principiu, privilegiată, iar coresponden</w:t>
      </w:r>
      <w:r>
        <w:rPr>
          <w:kern w:val="1"/>
          <w:lang w:val="ro-RO" w:eastAsia="hi-IN" w:bidi="hi-IN"/>
        </w:rPr>
        <w:t>ţ</w:t>
      </w:r>
      <w:r w:rsidRPr="00F5644D">
        <w:rPr>
          <w:kern w:val="1"/>
          <w:lang w:val="ro-RO" w:eastAsia="hi-IN" w:bidi="hi-IN"/>
        </w:rPr>
        <w:t xml:space="preserve">a în acest context, oricare ar fi scopul ei, se referă la aspecte private </w:t>
      </w:r>
      <w:r>
        <w:rPr>
          <w:kern w:val="1"/>
          <w:lang w:val="ro-RO" w:eastAsia="hi-IN" w:bidi="hi-IN"/>
        </w:rPr>
        <w:t>ş</w:t>
      </w:r>
      <w:r w:rsidRPr="00F5644D">
        <w:rPr>
          <w:kern w:val="1"/>
          <w:lang w:val="ro-RO" w:eastAsia="hi-IN" w:bidi="hi-IN"/>
        </w:rPr>
        <w:t>i confiden</w:t>
      </w:r>
      <w:r>
        <w:rPr>
          <w:kern w:val="1"/>
          <w:lang w:val="ro-RO" w:eastAsia="hi-IN" w:bidi="hi-IN"/>
        </w:rPr>
        <w:t>ţ</w:t>
      </w:r>
      <w:r w:rsidRPr="00F5644D">
        <w:rPr>
          <w:kern w:val="1"/>
          <w:lang w:val="ro-RO" w:eastAsia="hi-IN" w:bidi="hi-IN"/>
        </w:rPr>
        <w:t>iale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 xml:space="preserve">“43. </w:t>
      </w:r>
      <w:r w:rsidRPr="00F5644D">
        <w:rPr>
          <w:kern w:val="1"/>
          <w:lang w:val="ro-RO" w:eastAsia="hi-IN" w:bidi="hi-IN"/>
        </w:rPr>
        <w:t>Curtea reaminte</w:t>
      </w:r>
      <w:r>
        <w:rPr>
          <w:kern w:val="1"/>
          <w:lang w:val="ro-RO" w:eastAsia="hi-IN" w:bidi="hi-IN"/>
        </w:rPr>
        <w:t>ş</w:t>
      </w:r>
      <w:r w:rsidRPr="00F5644D">
        <w:rPr>
          <w:kern w:val="1"/>
          <w:lang w:val="ro-RO" w:eastAsia="hi-IN" w:bidi="hi-IN"/>
        </w:rPr>
        <w:t>te că no</w:t>
      </w:r>
      <w:r>
        <w:rPr>
          <w:kern w:val="1"/>
          <w:lang w:val="ro-RO" w:eastAsia="hi-IN" w:bidi="hi-IN"/>
        </w:rPr>
        <w:t>ţ</w:t>
      </w:r>
      <w:r w:rsidRPr="00F5644D">
        <w:rPr>
          <w:kern w:val="1"/>
          <w:lang w:val="ro-RO" w:eastAsia="hi-IN" w:bidi="hi-IN"/>
        </w:rPr>
        <w:t>iunea de necesitate implică faptul că ingerin</w:t>
      </w:r>
      <w:r>
        <w:rPr>
          <w:kern w:val="1"/>
          <w:lang w:val="ro-RO" w:eastAsia="hi-IN" w:bidi="hi-IN"/>
        </w:rPr>
        <w:t>ţ</w:t>
      </w:r>
      <w:r w:rsidRPr="00F5644D">
        <w:rPr>
          <w:kern w:val="1"/>
          <w:lang w:val="ro-RO" w:eastAsia="hi-IN" w:bidi="hi-IN"/>
        </w:rPr>
        <w:t xml:space="preserve">a este determinată de o necesitate socială presantă </w:t>
      </w:r>
      <w:r>
        <w:rPr>
          <w:kern w:val="1"/>
          <w:lang w:val="ro-RO" w:eastAsia="hi-IN" w:bidi="hi-IN"/>
        </w:rPr>
        <w:t>ş</w:t>
      </w:r>
      <w:r w:rsidRPr="00F5644D">
        <w:rPr>
          <w:kern w:val="1"/>
          <w:lang w:val="ro-RO" w:eastAsia="hi-IN" w:bidi="hi-IN"/>
        </w:rPr>
        <w:t>i, în special, este propor</w:t>
      </w:r>
      <w:r>
        <w:rPr>
          <w:kern w:val="1"/>
          <w:lang w:val="ro-RO" w:eastAsia="hi-IN" w:bidi="hi-IN"/>
        </w:rPr>
        <w:t>ţ</w:t>
      </w:r>
      <w:r w:rsidRPr="00F5644D">
        <w:rPr>
          <w:kern w:val="1"/>
          <w:lang w:val="ro-RO" w:eastAsia="hi-IN" w:bidi="hi-IN"/>
        </w:rPr>
        <w:t>ională cu scopul legitim urmărit. Atunci când se stabile</w:t>
      </w:r>
      <w:r>
        <w:rPr>
          <w:kern w:val="1"/>
          <w:lang w:val="ro-RO" w:eastAsia="hi-IN" w:bidi="hi-IN"/>
        </w:rPr>
        <w:t>ş</w:t>
      </w:r>
      <w:r w:rsidRPr="00F5644D">
        <w:rPr>
          <w:kern w:val="1"/>
          <w:lang w:val="ro-RO" w:eastAsia="hi-IN" w:bidi="hi-IN"/>
        </w:rPr>
        <w:t>te dacă o ingerin</w:t>
      </w:r>
      <w:r>
        <w:rPr>
          <w:kern w:val="1"/>
          <w:lang w:val="ro-RO" w:eastAsia="hi-IN" w:bidi="hi-IN"/>
        </w:rPr>
        <w:t>ţ</w:t>
      </w:r>
      <w:r w:rsidRPr="00F5644D">
        <w:rPr>
          <w:kern w:val="1"/>
          <w:lang w:val="ro-RO" w:eastAsia="hi-IN" w:bidi="hi-IN"/>
        </w:rPr>
        <w:t xml:space="preserve">ă este „necesară într-o societate democratică”, se aplică marja de apreciere a statului (a se vedea hotărârea </w:t>
      </w:r>
      <w:r>
        <w:rPr>
          <w:kern w:val="1"/>
          <w:lang w:val="ro-RO" w:eastAsia="hi-IN" w:bidi="hi-IN"/>
        </w:rPr>
        <w:t xml:space="preserve">din speţa Campbell împotriva </w:t>
      </w:r>
      <w:r w:rsidRPr="00F5644D">
        <w:rPr>
          <w:kern w:val="1"/>
          <w:lang w:val="ro-RO" w:eastAsia="hi-IN" w:bidi="hi-IN"/>
        </w:rPr>
        <w:t>Regatul</w:t>
      </w:r>
      <w:r>
        <w:rPr>
          <w:kern w:val="1"/>
          <w:lang w:val="ro-RO" w:eastAsia="hi-IN" w:bidi="hi-IN"/>
        </w:rPr>
        <w:t>ui</w:t>
      </w:r>
      <w:r w:rsidRPr="00F5644D">
        <w:rPr>
          <w:kern w:val="1"/>
          <w:lang w:val="ro-RO" w:eastAsia="hi-IN" w:bidi="hi-IN"/>
        </w:rPr>
        <w:t xml:space="preserve"> Unit din 25 martie 1992, seria A nr. 233, p. 18, § 44). De asemenea, se observă că în domeniul examinat - ascunderea activelor societă</w:t>
      </w:r>
      <w:r>
        <w:rPr>
          <w:kern w:val="1"/>
          <w:lang w:val="ro-RO" w:eastAsia="hi-IN" w:bidi="hi-IN"/>
        </w:rPr>
        <w:t>ţ</w:t>
      </w:r>
      <w:r w:rsidRPr="00F5644D">
        <w:rPr>
          <w:kern w:val="1"/>
          <w:lang w:val="ro-RO" w:eastAsia="hi-IN" w:bidi="hi-IN"/>
        </w:rPr>
        <w:t>ii falimentare în detrimentul creditorilor săi – autorită</w:t>
      </w:r>
      <w:r>
        <w:rPr>
          <w:kern w:val="1"/>
          <w:lang w:val="ro-RO" w:eastAsia="hi-IN" w:bidi="hi-IN"/>
        </w:rPr>
        <w:t>ţ</w:t>
      </w:r>
      <w:r w:rsidRPr="00F5644D">
        <w:rPr>
          <w:kern w:val="1"/>
          <w:lang w:val="ro-RO" w:eastAsia="hi-IN" w:bidi="hi-IN"/>
        </w:rPr>
        <w:t>ile pot considera că este necesar să recurgă la interceptarea coresponden</w:t>
      </w:r>
      <w:r>
        <w:rPr>
          <w:kern w:val="1"/>
          <w:lang w:val="ro-RO" w:eastAsia="hi-IN" w:bidi="hi-IN"/>
        </w:rPr>
        <w:t>ţ</w:t>
      </w:r>
      <w:r w:rsidRPr="00F5644D">
        <w:rPr>
          <w:kern w:val="1"/>
          <w:lang w:val="ro-RO" w:eastAsia="hi-IN" w:bidi="hi-IN"/>
        </w:rPr>
        <w:t>ei societă</w:t>
      </w:r>
      <w:r>
        <w:rPr>
          <w:kern w:val="1"/>
          <w:lang w:val="ro-RO" w:eastAsia="hi-IN" w:bidi="hi-IN"/>
        </w:rPr>
        <w:t>ţ</w:t>
      </w:r>
      <w:r w:rsidRPr="00F5644D">
        <w:rPr>
          <w:kern w:val="1"/>
          <w:lang w:val="ro-RO" w:eastAsia="hi-IN" w:bidi="hi-IN"/>
        </w:rPr>
        <w:t xml:space="preserve">ii falimentare pentru a identifica </w:t>
      </w:r>
      <w:r>
        <w:rPr>
          <w:kern w:val="1"/>
          <w:lang w:val="ro-RO" w:eastAsia="hi-IN" w:bidi="hi-IN"/>
        </w:rPr>
        <w:t>ş</w:t>
      </w:r>
      <w:r w:rsidRPr="00F5644D">
        <w:rPr>
          <w:kern w:val="1"/>
          <w:lang w:val="ro-RO" w:eastAsia="hi-IN" w:bidi="hi-IN"/>
        </w:rPr>
        <w:t>i a urmări sursele venitului. Cu toate acestea, implementarea măsurilor trebuie înso</w:t>
      </w:r>
      <w:r>
        <w:rPr>
          <w:kern w:val="1"/>
          <w:lang w:val="ro-RO" w:eastAsia="hi-IN" w:bidi="hi-IN"/>
        </w:rPr>
        <w:t>ţ</w:t>
      </w:r>
      <w:r w:rsidRPr="00F5644D">
        <w:rPr>
          <w:kern w:val="1"/>
          <w:lang w:val="ro-RO" w:eastAsia="hi-IN" w:bidi="hi-IN"/>
        </w:rPr>
        <w:t>ită de garan</w:t>
      </w:r>
      <w:r>
        <w:rPr>
          <w:kern w:val="1"/>
          <w:lang w:val="ro-RO" w:eastAsia="hi-IN" w:bidi="hi-IN"/>
        </w:rPr>
        <w:t>ţ</w:t>
      </w:r>
      <w:r w:rsidRPr="00F5644D">
        <w:rPr>
          <w:kern w:val="1"/>
          <w:lang w:val="ro-RO" w:eastAsia="hi-IN" w:bidi="hi-IN"/>
        </w:rPr>
        <w:t xml:space="preserve">ii adecvate </w:t>
      </w:r>
      <w:r>
        <w:rPr>
          <w:kern w:val="1"/>
          <w:lang w:val="ro-RO" w:eastAsia="hi-IN" w:bidi="hi-IN"/>
        </w:rPr>
        <w:t>ş</w:t>
      </w:r>
      <w:r w:rsidRPr="00F5644D">
        <w:rPr>
          <w:kern w:val="1"/>
          <w:lang w:val="ro-RO" w:eastAsia="hi-IN" w:bidi="hi-IN"/>
        </w:rPr>
        <w:t>i eficace care să asigure încălcarea minimă a dreptului la respectarea coresponden</w:t>
      </w:r>
      <w:r>
        <w:rPr>
          <w:kern w:val="1"/>
          <w:lang w:val="ro-RO" w:eastAsia="hi-IN" w:bidi="hi-IN"/>
        </w:rPr>
        <w:t>ţ</w:t>
      </w:r>
      <w:r w:rsidRPr="00F5644D">
        <w:rPr>
          <w:kern w:val="1"/>
          <w:lang w:val="ro-RO" w:eastAsia="hi-IN" w:bidi="hi-IN"/>
        </w:rPr>
        <w:t>ei. Acest lucru este în special valabil atunci când, a</w:t>
      </w:r>
      <w:r>
        <w:rPr>
          <w:kern w:val="1"/>
          <w:lang w:val="ro-RO" w:eastAsia="hi-IN" w:bidi="hi-IN"/>
        </w:rPr>
        <w:t>ş</w:t>
      </w:r>
      <w:r w:rsidRPr="00F5644D">
        <w:rPr>
          <w:kern w:val="1"/>
          <w:lang w:val="ro-RO" w:eastAsia="hi-IN" w:bidi="hi-IN"/>
        </w:rPr>
        <w:t xml:space="preserve">a cum este cazul </w:t>
      </w:r>
      <w:r>
        <w:rPr>
          <w:kern w:val="1"/>
          <w:lang w:val="ro-RO" w:eastAsia="hi-IN" w:bidi="hi-IN"/>
        </w:rPr>
        <w:t>ş</w:t>
      </w:r>
      <w:r w:rsidRPr="00F5644D">
        <w:rPr>
          <w:kern w:val="1"/>
          <w:lang w:val="ro-RO" w:eastAsia="hi-IN" w:bidi="hi-IN"/>
        </w:rPr>
        <w:t>i în spe</w:t>
      </w:r>
      <w:r>
        <w:rPr>
          <w:kern w:val="1"/>
          <w:lang w:val="ro-RO" w:eastAsia="hi-IN" w:bidi="hi-IN"/>
        </w:rPr>
        <w:t>ţ</w:t>
      </w:r>
      <w:r w:rsidRPr="00F5644D">
        <w:rPr>
          <w:kern w:val="1"/>
          <w:lang w:val="ro-RO" w:eastAsia="hi-IN" w:bidi="hi-IN"/>
        </w:rPr>
        <w:t>a de fa</w:t>
      </w:r>
      <w:r>
        <w:rPr>
          <w:kern w:val="1"/>
          <w:lang w:val="ro-RO" w:eastAsia="hi-IN" w:bidi="hi-IN"/>
        </w:rPr>
        <w:t>ţ</w:t>
      </w:r>
      <w:r w:rsidRPr="00F5644D">
        <w:rPr>
          <w:kern w:val="1"/>
          <w:lang w:val="ro-RO" w:eastAsia="hi-IN" w:bidi="hi-IN"/>
        </w:rPr>
        <w:t>ă, coresponden</w:t>
      </w:r>
      <w:r>
        <w:rPr>
          <w:kern w:val="1"/>
          <w:lang w:val="ro-RO" w:eastAsia="hi-IN" w:bidi="hi-IN"/>
        </w:rPr>
        <w:t>ţ</w:t>
      </w:r>
      <w:r w:rsidRPr="00F5644D">
        <w:rPr>
          <w:kern w:val="1"/>
          <w:lang w:val="ro-RO" w:eastAsia="hi-IN" w:bidi="hi-IN"/>
        </w:rPr>
        <w:t>a cu consilierii juridici ai societă</w:t>
      </w:r>
      <w:r>
        <w:rPr>
          <w:kern w:val="1"/>
          <w:lang w:val="ro-RO" w:eastAsia="hi-IN" w:bidi="hi-IN"/>
        </w:rPr>
        <w:t>ţ</w:t>
      </w:r>
      <w:r w:rsidRPr="00F5644D">
        <w:rPr>
          <w:kern w:val="1"/>
          <w:lang w:val="ro-RO" w:eastAsia="hi-IN" w:bidi="hi-IN"/>
        </w:rPr>
        <w:t>ii falimentare poate fi interceptată. Curtea constată în această privin</w:t>
      </w:r>
      <w:r>
        <w:rPr>
          <w:kern w:val="1"/>
          <w:lang w:val="ro-RO" w:eastAsia="hi-IN" w:bidi="hi-IN"/>
        </w:rPr>
        <w:t>ţ</w:t>
      </w:r>
      <w:r w:rsidRPr="00F5644D">
        <w:rPr>
          <w:kern w:val="1"/>
          <w:lang w:val="ro-RO" w:eastAsia="hi-IN" w:bidi="hi-IN"/>
        </w:rPr>
        <w:t>ă că rela</w:t>
      </w:r>
      <w:r>
        <w:rPr>
          <w:kern w:val="1"/>
          <w:lang w:val="ro-RO" w:eastAsia="hi-IN" w:bidi="hi-IN"/>
        </w:rPr>
        <w:t>ţ</w:t>
      </w:r>
      <w:r w:rsidRPr="00F5644D">
        <w:rPr>
          <w:kern w:val="1"/>
          <w:lang w:val="ro-RO" w:eastAsia="hi-IN" w:bidi="hi-IN"/>
        </w:rPr>
        <w:t>ia avocat-client este, în principiu, privilegiată, iar coresponden</w:t>
      </w:r>
      <w:r>
        <w:rPr>
          <w:kern w:val="1"/>
          <w:lang w:val="ro-RO" w:eastAsia="hi-IN" w:bidi="hi-IN"/>
        </w:rPr>
        <w:t>ţ</w:t>
      </w:r>
      <w:r w:rsidRPr="00F5644D">
        <w:rPr>
          <w:kern w:val="1"/>
          <w:lang w:val="ro-RO" w:eastAsia="hi-IN" w:bidi="hi-IN"/>
        </w:rPr>
        <w:t xml:space="preserve">a în acest context, indiferent care este scopul acesteia, se referă la aspecte de natură privată </w:t>
      </w:r>
      <w:r>
        <w:rPr>
          <w:kern w:val="1"/>
          <w:lang w:val="ro-RO" w:eastAsia="hi-IN" w:bidi="hi-IN"/>
        </w:rPr>
        <w:t>ş</w:t>
      </w:r>
      <w:r w:rsidRPr="00F5644D">
        <w:rPr>
          <w:kern w:val="1"/>
          <w:lang w:val="ro-RO" w:eastAsia="hi-IN" w:bidi="hi-IN"/>
        </w:rPr>
        <w:t>i confiden</w:t>
      </w:r>
      <w:r>
        <w:rPr>
          <w:kern w:val="1"/>
          <w:lang w:val="ro-RO" w:eastAsia="hi-IN" w:bidi="hi-IN"/>
        </w:rPr>
        <w:t>ţ</w:t>
      </w:r>
      <w:r w:rsidRPr="00F5644D">
        <w:rPr>
          <w:kern w:val="1"/>
          <w:lang w:val="ro-RO" w:eastAsia="hi-IN" w:bidi="hi-IN"/>
        </w:rPr>
        <w:t>ială (hotărârea Campbell menţionată mai sus, pp</w:t>
      </w:r>
      <w:r w:rsidRPr="00F5644D">
        <w:rPr>
          <w:lang w:val="ro-RO"/>
        </w:rPr>
        <w:t xml:space="preserve">. 18-19, §§ 46 </w:t>
      </w:r>
      <w:r>
        <w:rPr>
          <w:lang w:val="ro-RO"/>
        </w:rPr>
        <w:t>ş</w:t>
      </w:r>
      <w:r w:rsidRPr="00F5644D">
        <w:rPr>
          <w:lang w:val="ro-RO"/>
        </w:rPr>
        <w:t>i 48)”.</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spe</w:t>
      </w:r>
      <w:r>
        <w:rPr>
          <w:lang w:val="ro-RO"/>
        </w:rPr>
        <w:t>ţ</w:t>
      </w:r>
      <w:r w:rsidRPr="00F5644D">
        <w:rPr>
          <w:lang w:val="ro-RO"/>
        </w:rPr>
        <w:t xml:space="preserve">a </w:t>
      </w:r>
      <w:r>
        <w:rPr>
          <w:rStyle w:val="Bodytext2Italic"/>
          <w:rFonts w:eastAsia="Arial Unicode MS"/>
          <w:lang w:val="ro-RO"/>
        </w:rPr>
        <w:t>Michaud împotriva Franţei</w:t>
      </w:r>
      <w:r w:rsidRPr="00F5644D">
        <w:rPr>
          <w:rStyle w:val="Bodytext2Italic"/>
          <w:rFonts w:eastAsia="Arial Unicode MS"/>
          <w:lang w:val="ro-RO"/>
        </w:rPr>
        <w:t>,</w:t>
      </w:r>
      <w:r w:rsidRPr="00F5644D">
        <w:rPr>
          <w:lang w:val="ro-RO"/>
        </w:rPr>
        <w:t xml:space="preserve"> </w:t>
      </w:r>
      <w:r>
        <w:rPr>
          <w:lang w:val="ro-RO"/>
        </w:rPr>
        <w:t>Curtea a afirmat</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“118. Rezultă că, dacă articolul 8 protejează confiden</w:t>
      </w:r>
      <w:r>
        <w:rPr>
          <w:lang w:val="ro-RO"/>
        </w:rPr>
        <w:t>ţ</w:t>
      </w:r>
      <w:r w:rsidRPr="00F5644D">
        <w:rPr>
          <w:lang w:val="ro-RO"/>
        </w:rPr>
        <w:t>ialitatea oricărei “coresponden</w:t>
      </w:r>
      <w:r>
        <w:rPr>
          <w:lang w:val="ro-RO"/>
        </w:rPr>
        <w:t>ţ</w:t>
      </w:r>
      <w:r w:rsidRPr="00F5644D">
        <w:rPr>
          <w:lang w:val="ro-RO"/>
        </w:rPr>
        <w:t xml:space="preserve">e” între </w:t>
      </w:r>
      <w:r>
        <w:rPr>
          <w:lang w:val="ro-RO"/>
        </w:rPr>
        <w:t>persoane</w:t>
      </w:r>
      <w:r w:rsidRPr="00F5644D">
        <w:rPr>
          <w:lang w:val="ro-RO"/>
        </w:rPr>
        <w:t xml:space="preserve">, </w:t>
      </w:r>
      <w:r>
        <w:rPr>
          <w:lang w:val="ro-RO"/>
        </w:rPr>
        <w:t>acesta conferă o protecţie</w:t>
      </w:r>
      <w:r w:rsidRPr="00F5644D">
        <w:rPr>
          <w:lang w:val="ro-RO"/>
        </w:rPr>
        <w:t xml:space="preserve"> </w:t>
      </w:r>
      <w:r>
        <w:rPr>
          <w:lang w:val="ro-RO"/>
        </w:rPr>
        <w:t>mai puternică schimburilor de informaţii dintre avocaţi şi clienţii acestora</w:t>
      </w:r>
      <w:r w:rsidRPr="00F5644D">
        <w:rPr>
          <w:lang w:val="ro-RO"/>
        </w:rPr>
        <w:t xml:space="preserve">. </w:t>
      </w:r>
      <w:r>
        <w:rPr>
          <w:lang w:val="ro-RO"/>
        </w:rPr>
        <w:t>Acest</w:t>
      </w:r>
      <w:r w:rsidRPr="00F5644D">
        <w:rPr>
          <w:lang w:val="ro-RO"/>
        </w:rPr>
        <w:t xml:space="preserve"> </w:t>
      </w:r>
      <w:r w:rsidRPr="002D53C3">
        <w:rPr>
          <w:bCs/>
          <w:kern w:val="1"/>
          <w:lang w:val="ro-RO" w:eastAsia="hi-IN" w:bidi="hi-IN"/>
        </w:rPr>
        <w:t>lucru este justificat prin faptul că avocaţilor li se atribuie un rol fundamental într-o societate democratică, acela de a apăra părţile la litigiu. Cu toate acestea, este imposibil să ducă la îndeplinire această sarcină esenţială dacă nu pot să garanteze celor pe care îi apără că schimburile lor de informaţii vor rămâne confidenţiale</w:t>
      </w:r>
      <w:r w:rsidRPr="00F5644D">
        <w:rPr>
          <w:lang w:val="ro-RO"/>
        </w:rPr>
        <w:t xml:space="preserve">. </w:t>
      </w:r>
      <w:r>
        <w:rPr>
          <w:lang w:val="ro-RO"/>
        </w:rPr>
        <w:t>Este în joc relaţia de încredere dintre aceştia</w:t>
      </w:r>
      <w:r w:rsidRPr="00F5644D">
        <w:rPr>
          <w:lang w:val="ro-RO"/>
        </w:rPr>
        <w:t xml:space="preserve">, </w:t>
      </w:r>
      <w:r>
        <w:rPr>
          <w:lang w:val="ro-RO"/>
        </w:rPr>
        <w:t>esenţială pentru realizarea aceste misiuni</w:t>
      </w:r>
      <w:r w:rsidRPr="00F5644D">
        <w:rPr>
          <w:lang w:val="ro-RO"/>
        </w:rPr>
        <w:t xml:space="preserve">. </w:t>
      </w:r>
      <w:r>
        <w:rPr>
          <w:lang w:val="ro-RO"/>
        </w:rPr>
        <w:t>De aceasta depinde, de asemenea, în mod indirect, dar necesar, dreptul oricărei persoane la un proces echitabil</w:t>
      </w:r>
      <w:r w:rsidRPr="00F5644D">
        <w:rPr>
          <w:lang w:val="ro-RO"/>
        </w:rPr>
        <w:t xml:space="preserve">, </w:t>
      </w:r>
      <w:r>
        <w:rPr>
          <w:lang w:val="ro-RO"/>
        </w:rPr>
        <w:t>inclusiv dreptul persoanelor acuzate de a nu se autoincrimina</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 xml:space="preserve">“119. </w:t>
      </w:r>
      <w:r>
        <w:rPr>
          <w:lang w:val="ro-RO"/>
        </w:rPr>
        <w:t>Această protecţie sporită conferită de articolul</w:t>
      </w:r>
      <w:r w:rsidRPr="00F5644D">
        <w:rPr>
          <w:lang w:val="ro-RO"/>
        </w:rPr>
        <w:t xml:space="preserve"> 8 </w:t>
      </w:r>
      <w:r>
        <w:rPr>
          <w:lang w:val="ro-RO"/>
        </w:rPr>
        <w:t>confidenţialităţii relaţiilor avocat-client şi motivele pe care se bazează</w:t>
      </w:r>
      <w:r w:rsidRPr="00F5644D">
        <w:rPr>
          <w:lang w:val="ro-RO"/>
        </w:rPr>
        <w:t xml:space="preserve">, </w:t>
      </w:r>
      <w:r>
        <w:rPr>
          <w:lang w:val="ro-RO"/>
        </w:rPr>
        <w:t>determină Curtea să constate că</w:t>
      </w:r>
      <w:r w:rsidRPr="00F5644D">
        <w:rPr>
          <w:lang w:val="ro-RO"/>
        </w:rPr>
        <w:t xml:space="preserve">, </w:t>
      </w:r>
      <w:r>
        <w:rPr>
          <w:lang w:val="ro-RO"/>
        </w:rPr>
        <w:t>din această perspectivă</w:t>
      </w:r>
      <w:r w:rsidRPr="00F5644D">
        <w:rPr>
          <w:lang w:val="ro-RO"/>
        </w:rPr>
        <w:t xml:space="preserve">, </w:t>
      </w:r>
      <w:r>
        <w:rPr>
          <w:lang w:val="ro-RO"/>
        </w:rPr>
        <w:t>privilegiul profesiei juridice</w:t>
      </w:r>
      <w:r w:rsidRPr="00F5644D">
        <w:rPr>
          <w:lang w:val="ro-RO"/>
        </w:rPr>
        <w:t xml:space="preserve">, </w:t>
      </w:r>
      <w:r>
        <w:rPr>
          <w:lang w:val="ro-RO"/>
        </w:rPr>
        <w:t>care impune înainte de toate anumite obligaţii avocaţilor</w:t>
      </w:r>
      <w:r w:rsidRPr="00F5644D">
        <w:rPr>
          <w:lang w:val="ro-RO"/>
        </w:rPr>
        <w:t xml:space="preserve">, </w:t>
      </w:r>
      <w:r>
        <w:rPr>
          <w:lang w:val="ro-RO"/>
        </w:rPr>
        <w:t>este în mod special protejat de acest articol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spe</w:t>
      </w:r>
      <w:r>
        <w:rPr>
          <w:lang w:val="ro-RO"/>
        </w:rPr>
        <w:t>ţ</w:t>
      </w:r>
      <w:r w:rsidRPr="00F5644D">
        <w:rPr>
          <w:lang w:val="ro-RO"/>
        </w:rPr>
        <w:t xml:space="preserve">a </w:t>
      </w:r>
      <w:r>
        <w:rPr>
          <w:rStyle w:val="Bodytext2Italic"/>
          <w:rFonts w:eastAsia="Arial Unicode MS"/>
          <w:lang w:val="ro-RO"/>
        </w:rPr>
        <w:t xml:space="preserve">R.E. împotriva </w:t>
      </w:r>
      <w:r w:rsidRPr="00F5644D">
        <w:rPr>
          <w:rStyle w:val="Bodytext2Italic"/>
          <w:rFonts w:eastAsia="Arial Unicode MS"/>
          <w:lang w:val="ro-RO"/>
        </w:rPr>
        <w:t>Regatul</w:t>
      </w:r>
      <w:r>
        <w:rPr>
          <w:rStyle w:val="Bodytext2Italic"/>
          <w:rFonts w:eastAsia="Arial Unicode MS"/>
          <w:lang w:val="ro-RO"/>
        </w:rPr>
        <w:t>ui</w:t>
      </w:r>
      <w:r w:rsidRPr="00F5644D">
        <w:rPr>
          <w:rStyle w:val="Bodytext2Italic"/>
          <w:rFonts w:eastAsia="Arial Unicode MS"/>
          <w:lang w:val="ro-RO"/>
        </w:rPr>
        <w:t xml:space="preserve"> Unit</w:t>
      </w:r>
      <w:r w:rsidRPr="00F5644D">
        <w:rPr>
          <w:rStyle w:val="Bodytext2Italic"/>
          <w:rFonts w:eastAsia="Arial Unicode MS"/>
          <w:vertAlign w:val="superscript"/>
          <w:lang w:val="ro-RO"/>
        </w:rPr>
        <w:footnoteReference w:id="26"/>
      </w:r>
      <w:r w:rsidRPr="00F5644D">
        <w:rPr>
          <w:rStyle w:val="Bodytext2Italic"/>
          <w:rFonts w:eastAsia="Arial Unicode MS"/>
          <w:lang w:val="ro-RO"/>
        </w:rPr>
        <w:t>,</w:t>
      </w:r>
      <w:r w:rsidRPr="00F5644D">
        <w:rPr>
          <w:lang w:val="ro-RO"/>
        </w:rPr>
        <w:t xml:space="preserve"> CEDO, </w:t>
      </w:r>
      <w:r w:rsidRPr="00F5644D">
        <w:rPr>
          <w:kern w:val="1"/>
          <w:lang w:val="ro-RO" w:eastAsia="hi-IN" w:bidi="hi-IN"/>
        </w:rPr>
        <w:t>constatând o încălcare a articolului 8 din convenţie ca urmare a supravegherii unui interviu avocat-client care a avut loc într-o sec</w:t>
      </w:r>
      <w:r>
        <w:rPr>
          <w:kern w:val="1"/>
          <w:lang w:val="ro-RO" w:eastAsia="hi-IN" w:bidi="hi-IN"/>
        </w:rPr>
        <w:t>ţ</w:t>
      </w:r>
      <w:r w:rsidRPr="00F5644D">
        <w:rPr>
          <w:kern w:val="1"/>
          <w:lang w:val="ro-RO" w:eastAsia="hi-IN" w:bidi="hi-IN"/>
        </w:rPr>
        <w:t>ie de poliţie, a afirmat</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w:t>
      </w:r>
      <w:r w:rsidRPr="00F5644D">
        <w:rPr>
          <w:kern w:val="1"/>
          <w:lang w:val="ro-RO" w:eastAsia="hi-IN" w:bidi="hi-IN"/>
        </w:rPr>
        <w:t xml:space="preserve"> Prin urmare, Curtea consideră că supravegherea unei consultări juridice reprezintă un grad extrem de ridicat de intruziune în dreptul persoanei la respectarea vieţii private şi a corespondenţei; mai mare decât gradul de intruziune din speţele </w:t>
      </w:r>
      <w:r w:rsidRPr="00F5644D">
        <w:rPr>
          <w:vertAlign w:val="superscript"/>
          <w:lang w:val="ro-RO"/>
        </w:rPr>
        <w:footnoteReference w:id="27"/>
      </w:r>
      <w:r w:rsidRPr="00F5644D">
        <w:rPr>
          <w:lang w:val="ro-RO"/>
        </w:rPr>
        <w:t xml:space="preserve"> </w:t>
      </w:r>
      <w:r>
        <w:rPr>
          <w:lang w:val="ro-RO"/>
        </w:rPr>
        <w:t>ş</w:t>
      </w:r>
      <w:r w:rsidRPr="00F5644D">
        <w:rPr>
          <w:lang w:val="ro-RO"/>
        </w:rPr>
        <w:t>i chiar  Bykov</w:t>
      </w:r>
      <w:r w:rsidRPr="00F5644D">
        <w:rPr>
          <w:vertAlign w:val="superscript"/>
          <w:lang w:val="ro-RO"/>
        </w:rPr>
        <w:footnoteReference w:id="28"/>
      </w:r>
      <w:r w:rsidRPr="00F5644D">
        <w:rPr>
          <w:lang w:val="ro-RO"/>
        </w:rPr>
        <w:t xml:space="preserve">. </w:t>
      </w:r>
      <w:r w:rsidRPr="00F5644D">
        <w:rPr>
          <w:kern w:val="1"/>
          <w:lang w:val="ro-RO" w:eastAsia="hi-IN" w:bidi="hi-IN"/>
        </w:rPr>
        <w:t>Prin urmare, se aşteaptă că în aceste cazuri se vor aplica aceleaşi garanţii pentru protejarea persoanelor împotriva ingerinţei arbitrare în drepturile prevăzute la articolul 8, după cum s-a solicitat în cauzele referitoare la interceptarea comunicărilor, cel puţin în măsura în care aceste principii pot fi aplicate formei de supraveghere respective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Tendinţa CEDO a fost de a aborda chestiunea interceptării comunicărilor avocat-client din perspectiva dreptului la respectarea comunicărilor prevăzut la articolul 8, deşi acordă comunicărilor avocat-client un grad de protecţie mai ridicat decât altor comunicări private</w:t>
      </w:r>
      <w:r w:rsidRPr="00F5644D">
        <w:rPr>
          <w:lang w:val="ro-RO"/>
        </w:rPr>
        <w:t xml:space="preserve">. </w:t>
      </w:r>
      <w:r>
        <w:rPr>
          <w:lang w:val="ro-RO"/>
        </w:rPr>
        <w:t>Deşi acest fapt a condus la recunoaşterea consecventă de către Curte a nevoii</w:t>
      </w:r>
      <w:r w:rsidRPr="00F5644D">
        <w:rPr>
          <w:lang w:val="ro-RO"/>
        </w:rPr>
        <w:t xml:space="preserve"> </w:t>
      </w:r>
      <w:r>
        <w:rPr>
          <w:lang w:val="ro-RO"/>
        </w:rPr>
        <w:t>de protecţie sporită a comunicărilor dintre avocaţi şi clienţii acestora</w:t>
      </w:r>
      <w:r w:rsidRPr="00F5644D">
        <w:rPr>
          <w:lang w:val="ro-RO"/>
        </w:rPr>
        <w:t xml:space="preserve">, </w:t>
      </w:r>
      <w:r w:rsidRPr="00F5644D">
        <w:rPr>
          <w:kern w:val="1"/>
          <w:lang w:val="ro-RO" w:eastAsia="hi-IN" w:bidi="hi-IN"/>
        </w:rPr>
        <w:t>Curtea a făcut observaţii ocazionale conform cărora excepţiile sunt permise</w:t>
      </w:r>
      <w:r w:rsidRPr="00F5644D">
        <w:rPr>
          <w:lang w:val="ro-RO"/>
        </w:rPr>
        <w:t xml:space="preserve">, </w:t>
      </w:r>
      <w:r>
        <w:rPr>
          <w:lang w:val="ro-RO"/>
        </w:rPr>
        <w:t>deşi</w:t>
      </w:r>
      <w:r w:rsidRPr="00F5644D">
        <w:rPr>
          <w:lang w:val="ro-RO"/>
        </w:rPr>
        <w:t xml:space="preserve"> natur</w:t>
      </w:r>
      <w:r>
        <w:rPr>
          <w:lang w:val="ro-RO"/>
        </w:rPr>
        <w:t>a</w:t>
      </w:r>
      <w:r w:rsidRPr="00F5644D">
        <w:rPr>
          <w:lang w:val="ro-RO"/>
        </w:rPr>
        <w:t xml:space="preserve"> </w:t>
      </w:r>
      <w:r>
        <w:rPr>
          <w:lang w:val="ro-RO"/>
        </w:rPr>
        <w:t>şi amploarea unor astfel de excepţii</w:t>
      </w:r>
      <w:r w:rsidRPr="00F5644D">
        <w:rPr>
          <w:lang w:val="ro-RO"/>
        </w:rPr>
        <w:t xml:space="preserve"> </w:t>
      </w:r>
      <w:r w:rsidRPr="00F5644D">
        <w:rPr>
          <w:kern w:val="1"/>
          <w:lang w:val="ro-RO" w:eastAsia="hi-IN" w:bidi="hi-IN"/>
        </w:rPr>
        <w:t>nu au fost examinate cu adevărat de către Curte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Astfel, rămâne fără răspuns întrebarea următoare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Cum pot contribui articolele</w:t>
      </w:r>
      <w:r w:rsidRPr="00F5644D">
        <w:rPr>
          <w:lang w:val="ro-RO"/>
        </w:rPr>
        <w:t xml:space="preserve"> 6 </w:t>
      </w:r>
      <w:r>
        <w:rPr>
          <w:lang w:val="ro-RO"/>
        </w:rPr>
        <w:t xml:space="preserve">şi </w:t>
      </w:r>
      <w:r w:rsidRPr="00F5644D">
        <w:rPr>
          <w:lang w:val="ro-RO"/>
        </w:rPr>
        <w:t xml:space="preserve">8 </w:t>
      </w:r>
      <w:r>
        <w:rPr>
          <w:lang w:val="ro-RO"/>
        </w:rPr>
        <w:t xml:space="preserve">ale </w:t>
      </w:r>
      <w:r w:rsidRPr="00F5644D">
        <w:rPr>
          <w:lang w:val="ro-RO"/>
        </w:rPr>
        <w:t xml:space="preserve">ECHR </w:t>
      </w:r>
      <w:r>
        <w:rPr>
          <w:lang w:val="ro-RO"/>
        </w:rPr>
        <w:t>pentru a asigura protejarea privilegiului profesiei juridice şi a secretului profesional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S-a sugerat că punctul de pornire ar putea fi să se stabilească</w:t>
      </w:r>
      <w:r w:rsidRPr="00F5644D">
        <w:rPr>
          <w:lang w:val="ro-RO"/>
        </w:rPr>
        <w:t xml:space="preserve"> </w:t>
      </w:r>
      <w:r>
        <w:rPr>
          <w:lang w:val="ro-RO"/>
        </w:rPr>
        <w:t>ce anume este şi ce nu este protejat prin privilegiul profesiei juridice şi prin secretul profesional</w:t>
      </w:r>
      <w:r w:rsidRPr="00F5644D">
        <w:rPr>
          <w:lang w:val="ro-RO"/>
        </w:rPr>
        <w:t xml:space="preserve">. </w:t>
      </w:r>
      <w:r>
        <w:rPr>
          <w:lang w:val="ro-RO"/>
        </w:rPr>
        <w:t>După cum am menţionat mai sus</w:t>
      </w:r>
      <w:r w:rsidRPr="00F5644D">
        <w:rPr>
          <w:lang w:val="ro-RO"/>
        </w:rPr>
        <w:t xml:space="preserve">, </w:t>
      </w:r>
      <w:r>
        <w:rPr>
          <w:lang w:val="ro-RO"/>
        </w:rPr>
        <w:t>niciun sistem al</w:t>
      </w:r>
      <w:r w:rsidRPr="00F5644D">
        <w:rPr>
          <w:lang w:val="ro-RO"/>
        </w:rPr>
        <w:t xml:space="preserve"> </w:t>
      </w:r>
      <w:r>
        <w:rPr>
          <w:lang w:val="ro-RO"/>
        </w:rPr>
        <w:t>privilegiului profesiei juridice sau al secretului profesional nu protejează</w:t>
      </w:r>
      <w:r w:rsidRPr="00F5644D">
        <w:rPr>
          <w:lang w:val="ro-RO"/>
        </w:rPr>
        <w:t xml:space="preserve"> </w:t>
      </w:r>
      <w:r w:rsidRPr="002D53C3">
        <w:rPr>
          <w:lang w:val="ro-RO"/>
        </w:rPr>
        <w:t>comunicările în cazul în care avocatul este implicat în punerea la cale a unei activită</w:t>
      </w:r>
      <w:r>
        <w:rPr>
          <w:lang w:val="ro-RO"/>
        </w:rPr>
        <w:t>ţ</w:t>
      </w:r>
      <w:r w:rsidRPr="002D53C3">
        <w:rPr>
          <w:lang w:val="ro-RO"/>
        </w:rPr>
        <w:t>i infrac</w:t>
      </w:r>
      <w:r>
        <w:rPr>
          <w:lang w:val="ro-RO"/>
        </w:rPr>
        <w:t>ţ</w:t>
      </w:r>
      <w:r w:rsidRPr="002D53C3">
        <w:rPr>
          <w:lang w:val="ro-RO"/>
        </w:rPr>
        <w:t>ionale</w:t>
      </w:r>
      <w:r w:rsidRPr="00F5644D">
        <w:rPr>
          <w:lang w:val="ro-RO"/>
        </w:rPr>
        <w:t xml:space="preserve"> (</w:t>
      </w:r>
      <w:r>
        <w:rPr>
          <w:lang w:val="ro-RO"/>
        </w:rPr>
        <w:t>aşa-numita</w:t>
      </w:r>
      <w:r w:rsidRPr="00F5644D">
        <w:rPr>
          <w:lang w:val="ro-RO"/>
        </w:rPr>
        <w:t xml:space="preserve"> “</w:t>
      </w:r>
      <w:r w:rsidRPr="002D53C3">
        <w:rPr>
          <w:bCs/>
          <w:iCs/>
          <w:kern w:val="1"/>
          <w:lang w:val="ro-RO" w:eastAsia="hi-IN" w:bidi="hi-IN"/>
        </w:rPr>
        <w:t>excep</w:t>
      </w:r>
      <w:r>
        <w:rPr>
          <w:bCs/>
          <w:iCs/>
          <w:kern w:val="1"/>
          <w:lang w:val="ro-RO" w:eastAsia="hi-IN" w:bidi="hi-IN"/>
        </w:rPr>
        <w:t>ţ</w:t>
      </w:r>
      <w:r w:rsidRPr="002D53C3">
        <w:rPr>
          <w:bCs/>
          <w:iCs/>
          <w:kern w:val="1"/>
          <w:lang w:val="ro-RO" w:eastAsia="hi-IN" w:bidi="hi-IN"/>
        </w:rPr>
        <w:t>ie de inechitate</w:t>
      </w:r>
      <w:r w:rsidRPr="00F5644D">
        <w:rPr>
          <w:lang w:val="ro-RO"/>
        </w:rPr>
        <w:t xml:space="preserve">”). </w:t>
      </w:r>
      <w:r>
        <w:rPr>
          <w:lang w:val="ro-RO"/>
        </w:rPr>
        <w:t>Protecţia legală ar trebui să vizeze asigurarea inviolabilităţii datelor care intră sub incidenţa</w:t>
      </w:r>
      <w:r w:rsidRPr="00F5644D">
        <w:rPr>
          <w:lang w:val="ro-RO"/>
        </w:rPr>
        <w:t xml:space="preserve"> </w:t>
      </w:r>
      <w:r>
        <w:rPr>
          <w:lang w:val="ro-RO"/>
        </w:rPr>
        <w:t>privilegiului profesiei juridice sau a obligaţiei păstrării secretului profesional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În această privinţă</w:t>
      </w:r>
      <w:r w:rsidRPr="00F5644D">
        <w:rPr>
          <w:lang w:val="ro-RO"/>
        </w:rPr>
        <w:t xml:space="preserve">, </w:t>
      </w:r>
      <w:r>
        <w:rPr>
          <w:lang w:val="ro-RO"/>
        </w:rPr>
        <w:t>articolul</w:t>
      </w:r>
      <w:r w:rsidRPr="00F5644D">
        <w:rPr>
          <w:lang w:val="ro-RO"/>
        </w:rPr>
        <w:t xml:space="preserve"> 6 </w:t>
      </w:r>
      <w:r>
        <w:rPr>
          <w:lang w:val="ro-RO"/>
        </w:rPr>
        <w:t>oferă un mecanism de filtrare util</w:t>
      </w:r>
      <w:r w:rsidRPr="00F5644D">
        <w:rPr>
          <w:lang w:val="ro-RO"/>
        </w:rPr>
        <w:t xml:space="preserve">, </w:t>
      </w:r>
      <w:r>
        <w:rPr>
          <w:lang w:val="ro-RO"/>
        </w:rPr>
        <w:t>deşi nu poate fi o garanţie de protejare a oricărei comunicări cuprinse în sfera privilegiului profesiei juridice sau a obligaţiei păstrării secretului profesional</w:t>
      </w:r>
      <w:r w:rsidRPr="00F5644D">
        <w:rPr>
          <w:lang w:val="ro-RO"/>
        </w:rPr>
        <w:t xml:space="preserve">. </w:t>
      </w:r>
      <w:r>
        <w:rPr>
          <w:lang w:val="ro-RO"/>
        </w:rPr>
        <w:t>Aceasta din cauză că</w:t>
      </w:r>
      <w:r w:rsidRPr="00F5644D">
        <w:rPr>
          <w:lang w:val="ro-RO"/>
        </w:rPr>
        <w:t xml:space="preserve">, </w:t>
      </w:r>
      <w:r>
        <w:rPr>
          <w:lang w:val="ro-RO"/>
        </w:rPr>
        <w:t xml:space="preserve">deşi domeniul de aplicare al articolului </w:t>
      </w:r>
      <w:r w:rsidRPr="00F5644D">
        <w:rPr>
          <w:lang w:val="ro-RO"/>
        </w:rPr>
        <w:t xml:space="preserve">6 </w:t>
      </w:r>
      <w:r>
        <w:rPr>
          <w:lang w:val="ro-RO"/>
        </w:rPr>
        <w:t>este vast</w:t>
      </w:r>
      <w:r w:rsidRPr="00F5644D">
        <w:rPr>
          <w:lang w:val="ro-RO"/>
        </w:rPr>
        <w:t xml:space="preserve"> (</w:t>
      </w:r>
      <w:r>
        <w:rPr>
          <w:lang w:val="ro-RO"/>
        </w:rPr>
        <w:t>pentru că priveşte dreptul la un proces echitabil atât în materie penală, cât şi în materie civilă</w:t>
      </w:r>
      <w:r w:rsidRPr="00F5644D">
        <w:rPr>
          <w:lang w:val="ro-RO"/>
        </w:rPr>
        <w:t xml:space="preserve">, </w:t>
      </w:r>
      <w:r>
        <w:rPr>
          <w:lang w:val="ro-RO"/>
        </w:rPr>
        <w:t>articolul</w:t>
      </w:r>
      <w:r w:rsidRPr="00F5644D">
        <w:rPr>
          <w:lang w:val="ro-RO"/>
        </w:rPr>
        <w:t xml:space="preserve"> 6 </w:t>
      </w:r>
      <w:r>
        <w:rPr>
          <w:lang w:val="ro-RO"/>
        </w:rPr>
        <w:t>extinzând protecţia până la momentul acordării primei consultări</w:t>
      </w:r>
      <w:r w:rsidRPr="00F5644D">
        <w:rPr>
          <w:lang w:val="ro-RO"/>
        </w:rPr>
        <w:t>)</w:t>
      </w:r>
      <w:r>
        <w:rPr>
          <w:lang w:val="ro-RO"/>
        </w:rPr>
        <w:t>,</w:t>
      </w:r>
      <w:r w:rsidRPr="00F5644D">
        <w:rPr>
          <w:lang w:val="ro-RO"/>
        </w:rPr>
        <w:t xml:space="preserve"> </w:t>
      </w:r>
      <w:r>
        <w:rPr>
          <w:lang w:val="ro-RO"/>
        </w:rPr>
        <w:t xml:space="preserve">acesta nu este atotcuprinzător, pentru că vor exista comunicări cuprinse în sfera privilegiului profesiei juridice sau comunicări secrete care nu intră sub incidenţa articolului </w:t>
      </w:r>
      <w:r w:rsidRPr="00F5644D">
        <w:rPr>
          <w:lang w:val="ro-RO"/>
        </w:rPr>
        <w:t xml:space="preserve">6 </w:t>
      </w:r>
      <w:r>
        <w:rPr>
          <w:lang w:val="ro-RO"/>
        </w:rPr>
        <w:t>–</w:t>
      </w:r>
      <w:r w:rsidRPr="00F5644D">
        <w:rPr>
          <w:lang w:val="ro-RO"/>
        </w:rPr>
        <w:t xml:space="preserve"> </w:t>
      </w:r>
      <w:r>
        <w:rPr>
          <w:lang w:val="ro-RO"/>
        </w:rPr>
        <w:t>de exemplu, comunicările privind negocierile contractuale sau alte proceduri necontencioase</w:t>
      </w:r>
      <w:r w:rsidRPr="00F5644D">
        <w:rPr>
          <w:lang w:val="ro-RO"/>
        </w:rPr>
        <w:t xml:space="preserve">. </w:t>
      </w:r>
      <w:r>
        <w:rPr>
          <w:lang w:val="ro-RO"/>
        </w:rPr>
        <w:t>Cu toate acestea</w:t>
      </w:r>
      <w:r w:rsidRPr="00F5644D">
        <w:rPr>
          <w:lang w:val="ro-RO"/>
        </w:rPr>
        <w:t xml:space="preserve">, </w:t>
      </w:r>
      <w:r>
        <w:rPr>
          <w:lang w:val="ro-RO"/>
        </w:rPr>
        <w:t>dacă o comunicare</w:t>
      </w:r>
      <w:r w:rsidRPr="00F5644D">
        <w:rPr>
          <w:lang w:val="ro-RO"/>
        </w:rPr>
        <w:t xml:space="preserve"> </w:t>
      </w:r>
      <w:r>
        <w:rPr>
          <w:lang w:val="ro-RO"/>
        </w:rPr>
        <w:t>cuprinsă în sfera privilegiului profesiei juridice sau o comunicare protejată prin obligaţia secretului profesional</w:t>
      </w:r>
      <w:r w:rsidRPr="00F5644D">
        <w:rPr>
          <w:lang w:val="ro-RO"/>
        </w:rPr>
        <w:t xml:space="preserve"> </w:t>
      </w:r>
      <w:r>
        <w:rPr>
          <w:lang w:val="ro-RO"/>
        </w:rPr>
        <w:t xml:space="preserve">intră sub incidenţa articolului </w:t>
      </w:r>
      <w:r w:rsidRPr="00F5644D">
        <w:rPr>
          <w:lang w:val="ro-RO"/>
        </w:rPr>
        <w:t xml:space="preserve">6, </w:t>
      </w:r>
      <w:r>
        <w:rPr>
          <w:lang w:val="ro-RO"/>
        </w:rPr>
        <w:t>atunci</w:t>
      </w:r>
      <w:r w:rsidRPr="00F5644D">
        <w:rPr>
          <w:lang w:val="ro-RO"/>
        </w:rPr>
        <w:t xml:space="preserve">, </w:t>
      </w:r>
      <w:r>
        <w:rPr>
          <w:lang w:val="ro-RO"/>
        </w:rPr>
        <w:t xml:space="preserve">având în vedere natura absolută a protecţiei conferite prin </w:t>
      </w:r>
      <w:r w:rsidRPr="00F5644D">
        <w:rPr>
          <w:lang w:val="ro-RO"/>
        </w:rPr>
        <w:t xml:space="preserve">6, </w:t>
      </w:r>
      <w:r>
        <w:rPr>
          <w:lang w:val="ro-RO"/>
        </w:rPr>
        <w:t>nu ar trebui permisă posibilitatea interceptării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Cu toate acestea, după cum am explicat</w:t>
      </w:r>
      <w:r w:rsidRPr="00F5644D">
        <w:rPr>
          <w:lang w:val="ro-RO"/>
        </w:rPr>
        <w:t xml:space="preserve">, </w:t>
      </w:r>
      <w:r>
        <w:rPr>
          <w:lang w:val="ro-RO"/>
        </w:rPr>
        <w:t xml:space="preserve">nu orice secret profesional sau comunicare privilegiată se bucură de protecţia articolului </w:t>
      </w:r>
      <w:r w:rsidRPr="00F5644D">
        <w:rPr>
          <w:lang w:val="ro-RO"/>
        </w:rPr>
        <w:t xml:space="preserve">6, </w:t>
      </w:r>
      <w:r>
        <w:rPr>
          <w:lang w:val="ro-RO"/>
        </w:rPr>
        <w:t>iar aici devine esenţială protecţia conferită prin articolul</w:t>
      </w:r>
      <w:r w:rsidRPr="00F5644D">
        <w:rPr>
          <w:lang w:val="ro-RO"/>
        </w:rPr>
        <w:t xml:space="preserve"> 8. </w:t>
      </w:r>
      <w:r>
        <w:rPr>
          <w:lang w:val="ro-RO"/>
        </w:rPr>
        <w:t>Articolul</w:t>
      </w:r>
      <w:r w:rsidRPr="00F5644D">
        <w:rPr>
          <w:lang w:val="ro-RO"/>
        </w:rPr>
        <w:t xml:space="preserve"> 8 </w:t>
      </w:r>
      <w:r>
        <w:rPr>
          <w:lang w:val="ro-RO"/>
        </w:rPr>
        <w:t>este confirmat</w:t>
      </w:r>
      <w:r w:rsidRPr="00F5644D">
        <w:rPr>
          <w:lang w:val="ro-RO"/>
        </w:rPr>
        <w:t xml:space="preserve">, </w:t>
      </w:r>
      <w:r>
        <w:rPr>
          <w:lang w:val="ro-RO"/>
        </w:rPr>
        <w:t>solicitând efectuarea unui exerciţiu de echilibrare</w:t>
      </w:r>
      <w:r w:rsidRPr="00F5644D">
        <w:rPr>
          <w:lang w:val="ro-RO"/>
        </w:rPr>
        <w:t xml:space="preserve"> </w:t>
      </w:r>
      <w:r>
        <w:rPr>
          <w:lang w:val="ro-RO"/>
        </w:rPr>
        <w:t>–</w:t>
      </w:r>
      <w:r w:rsidRPr="00F5644D">
        <w:rPr>
          <w:lang w:val="ro-RO"/>
        </w:rPr>
        <w:t xml:space="preserve"> </w:t>
      </w:r>
      <w:r>
        <w:rPr>
          <w:lang w:val="ro-RO"/>
        </w:rPr>
        <w:t>confidenţialitatea, faţă de interesele statului de a-şi proteja cetăţenii într-o societate democratică</w:t>
      </w:r>
      <w:r w:rsidRPr="00F5644D">
        <w:rPr>
          <w:lang w:val="ro-RO"/>
        </w:rPr>
        <w:t xml:space="preserve">. </w:t>
      </w:r>
      <w:r>
        <w:rPr>
          <w:lang w:val="ro-RO"/>
        </w:rPr>
        <w:t>Cu toate acestea</w:t>
      </w:r>
      <w:r w:rsidRPr="00F5644D">
        <w:rPr>
          <w:lang w:val="ro-RO"/>
        </w:rPr>
        <w:t xml:space="preserve">, </w:t>
      </w:r>
      <w:r>
        <w:rPr>
          <w:lang w:val="ro-RO"/>
        </w:rPr>
        <w:t>jurisprudenţa clară a CEDO, exprimată şi în speţa</w:t>
      </w:r>
      <w:r w:rsidRPr="00F5644D">
        <w:rPr>
          <w:lang w:val="ro-RO"/>
        </w:rPr>
        <w:t xml:space="preserve"> Michaud</w:t>
      </w:r>
      <w:r>
        <w:rPr>
          <w:lang w:val="ro-RO"/>
        </w:rPr>
        <w:t>, este să acorde o protecţie sporită, conform articolului 8, comunicărilor cuprinse în sfera privilegiului profesiei juridice sau a secretului profesional</w:t>
      </w:r>
      <w:r w:rsidRPr="00F5644D">
        <w:rPr>
          <w:lang w:val="ro-RO"/>
        </w:rPr>
        <w:t xml:space="preserve">. </w:t>
      </w:r>
      <w:r>
        <w:rPr>
          <w:lang w:val="ro-RO"/>
        </w:rPr>
        <w:t>Este dificil de înţeles de ce protecţia sporită acordată</w:t>
      </w:r>
      <w:r w:rsidRPr="00F5644D">
        <w:rPr>
          <w:lang w:val="ro-RO"/>
        </w:rPr>
        <w:t xml:space="preserve"> </w:t>
      </w:r>
      <w:r>
        <w:rPr>
          <w:lang w:val="ro-RO"/>
        </w:rPr>
        <w:t>comunicărilor cuprinse în sfera privilegiului profesiei juridice sau a secretului profesional</w:t>
      </w:r>
      <w:r w:rsidRPr="00F5644D">
        <w:rPr>
          <w:lang w:val="ro-RO"/>
        </w:rPr>
        <w:t xml:space="preserve"> </w:t>
      </w:r>
      <w:r>
        <w:rPr>
          <w:lang w:val="ro-RO"/>
        </w:rPr>
        <w:t>conform articolului</w:t>
      </w:r>
      <w:r w:rsidRPr="00F5644D">
        <w:rPr>
          <w:lang w:val="ro-RO"/>
        </w:rPr>
        <w:t xml:space="preserve"> 8 </w:t>
      </w:r>
      <w:r>
        <w:rPr>
          <w:lang w:val="ro-RO"/>
        </w:rPr>
        <w:t xml:space="preserve">nu ar trebui, în principiu, să fie echivalentă cu protecţia conferită materialelor cuprinse în sfera privilegiului profesiei juridice şi secretelor profesionale care intră sub incidenţa articolului </w:t>
      </w:r>
      <w:r w:rsidRPr="00F5644D">
        <w:rPr>
          <w:lang w:val="ro-RO"/>
        </w:rPr>
        <w:t>6.</w:t>
      </w:r>
    </w:p>
    <w:p w:rsidR="006660B9" w:rsidRPr="00F5644D" w:rsidRDefault="006660B9" w:rsidP="003A16ED">
      <w:pPr>
        <w:pStyle w:val="Bodytext21"/>
        <w:shd w:val="clear" w:color="auto" w:fill="auto"/>
        <w:spacing w:before="240" w:line="276" w:lineRule="auto"/>
        <w:ind w:firstLine="0"/>
        <w:jc w:val="both"/>
        <w:rPr>
          <w:lang w:val="ro-RO"/>
        </w:rPr>
      </w:pPr>
      <w:r>
        <w:rPr>
          <w:lang w:val="ro-RO"/>
        </w:rPr>
        <w:t>Prin urmare</w:t>
      </w:r>
      <w:r w:rsidRPr="00F5644D">
        <w:rPr>
          <w:lang w:val="ro-RO"/>
        </w:rPr>
        <w:t xml:space="preserve">, </w:t>
      </w:r>
      <w:r>
        <w:rPr>
          <w:lang w:val="ro-RO"/>
        </w:rPr>
        <w:t>răspunsul la întrebarea de mai sus este că, atunci când se analizează o solicitare de a permite interceptarea comunicărilor dintre un avocat şi un client</w:t>
      </w:r>
      <w:r w:rsidRPr="00F5644D">
        <w:rPr>
          <w:lang w:val="ro-RO"/>
        </w:rPr>
        <w:t xml:space="preserve">, </w:t>
      </w:r>
      <w:r>
        <w:rPr>
          <w:lang w:val="ro-RO"/>
        </w:rPr>
        <w:t>primul aspect care trebuie stabilit este</w:t>
      </w:r>
      <w:r w:rsidRPr="00F5644D">
        <w:rPr>
          <w:lang w:val="ro-RO"/>
        </w:rPr>
        <w:t xml:space="preserve"> dacă respectiva comunicare intră sub inciden</w:t>
      </w:r>
      <w:r>
        <w:rPr>
          <w:lang w:val="ro-RO"/>
        </w:rPr>
        <w:t>ţ</w:t>
      </w:r>
      <w:r w:rsidRPr="00F5644D">
        <w:rPr>
          <w:lang w:val="ro-RO"/>
        </w:rPr>
        <w:t xml:space="preserve">a </w:t>
      </w:r>
      <w:r w:rsidRPr="00F5644D">
        <w:rPr>
          <w:kern w:val="1"/>
          <w:lang w:val="ro-RO" w:eastAsia="hi-IN" w:bidi="hi-IN"/>
        </w:rPr>
        <w:t>privilegiului profesiei juridice sau a secretului profesional</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Dacă respectiva comunicare este protejată de privilegiul profesiei juridice sau de secretul profesional</w:t>
      </w:r>
      <w:r w:rsidRPr="00F5644D">
        <w:rPr>
          <w:vertAlign w:val="superscript"/>
          <w:lang w:val="ro-RO"/>
        </w:rPr>
        <w:footnoteReference w:id="29"/>
      </w:r>
      <w:r w:rsidRPr="00F5644D">
        <w:rPr>
          <w:lang w:val="ro-RO"/>
        </w:rPr>
        <w:t>, următoarea etapă ar fi să se stabilească dacă intră sub inciden</w:t>
      </w:r>
      <w:r>
        <w:rPr>
          <w:lang w:val="ro-RO"/>
        </w:rPr>
        <w:t>ţ</w:t>
      </w:r>
      <w:r w:rsidRPr="00F5644D">
        <w:rPr>
          <w:lang w:val="ro-RO"/>
        </w:rPr>
        <w:t>a articolului 6. Dacă răspunsul este da, atunci nu ar trebui să existe posibilitatea interceptării sau a situa</w:t>
      </w:r>
      <w:r>
        <w:rPr>
          <w:lang w:val="ro-RO"/>
        </w:rPr>
        <w:t>ţ</w:t>
      </w:r>
      <w:r w:rsidRPr="00F5644D">
        <w:rPr>
          <w:lang w:val="ro-RO"/>
        </w:rPr>
        <w:t>iei în care persoana face obiectul supravegherii.</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eastAsia="hi-IN" w:bidi="hi-IN"/>
        </w:rPr>
        <w:t>În ceea ce prive</w:t>
      </w:r>
      <w:r>
        <w:rPr>
          <w:kern w:val="1"/>
          <w:lang w:val="ro-RO" w:eastAsia="hi-IN" w:bidi="hi-IN"/>
        </w:rPr>
        <w:t>ş</w:t>
      </w:r>
      <w:r w:rsidRPr="00F5644D">
        <w:rPr>
          <w:kern w:val="1"/>
          <w:lang w:val="ro-RO" w:eastAsia="hi-IN" w:bidi="hi-IN"/>
        </w:rPr>
        <w:t>te comunicările care nu intră sub inciden</w:t>
      </w:r>
      <w:r>
        <w:rPr>
          <w:kern w:val="1"/>
          <w:lang w:val="ro-RO" w:eastAsia="hi-IN" w:bidi="hi-IN"/>
        </w:rPr>
        <w:t>ţ</w:t>
      </w:r>
      <w:r w:rsidRPr="00F5644D">
        <w:rPr>
          <w:kern w:val="1"/>
          <w:lang w:val="ro-RO" w:eastAsia="hi-IN" w:bidi="hi-IN"/>
        </w:rPr>
        <w:t>a articolului 6, întrucât acestea continuă să fie comunicări private, ar fi adecvată efectuarea unui exerci</w:t>
      </w:r>
      <w:r>
        <w:rPr>
          <w:kern w:val="1"/>
          <w:lang w:val="ro-RO" w:eastAsia="hi-IN" w:bidi="hi-IN"/>
        </w:rPr>
        <w:t>ţ</w:t>
      </w:r>
      <w:r w:rsidRPr="00F5644D">
        <w:rPr>
          <w:kern w:val="1"/>
          <w:lang w:val="ro-RO" w:eastAsia="hi-IN" w:bidi="hi-IN"/>
        </w:rPr>
        <w:t>iu de echilibrare în legătură cu articolul 8</w:t>
      </w:r>
      <w:r w:rsidRPr="00F5644D">
        <w:rPr>
          <w:lang w:val="ro-RO"/>
        </w:rPr>
        <w:t>. Însă aceste comunicări tot intră sub inciden</w:t>
      </w:r>
      <w:r>
        <w:rPr>
          <w:lang w:val="ro-RO"/>
        </w:rPr>
        <w:t>ţ</w:t>
      </w:r>
      <w:r w:rsidRPr="00F5644D">
        <w:rPr>
          <w:lang w:val="ro-RO"/>
        </w:rPr>
        <w:t>a protec</w:t>
      </w:r>
      <w:r>
        <w:rPr>
          <w:lang w:val="ro-RO"/>
        </w:rPr>
        <w:t>ţ</w:t>
      </w:r>
      <w:r w:rsidRPr="00F5644D">
        <w:rPr>
          <w:lang w:val="ro-RO"/>
        </w:rPr>
        <w:t xml:space="preserve">iei sporite conferite de articolul 8, prin urmare se aplică principiile din cauza </w:t>
      </w:r>
      <w:r w:rsidRPr="00F5644D">
        <w:rPr>
          <w:rStyle w:val="Bodytext2Italic"/>
          <w:rFonts w:eastAsia="Arial Unicode MS"/>
          <w:lang w:val="ro-RO"/>
        </w:rPr>
        <w:t>Michaud</w:t>
      </w:r>
      <w:r w:rsidRPr="00F5644D">
        <w:rPr>
          <w:lang w:val="ro-RO"/>
        </w:rPr>
        <w:t>. Aplicarea acelor principii ar trebui să conducă la un rezultat asemănător protec</w:t>
      </w:r>
      <w:r>
        <w:rPr>
          <w:lang w:val="ro-RO"/>
        </w:rPr>
        <w:t>ţ</w:t>
      </w:r>
      <w:r w:rsidRPr="00F5644D">
        <w:rPr>
          <w:lang w:val="ro-RO"/>
        </w:rPr>
        <w:t>iei conferite prin articolul 6.</w:t>
      </w:r>
    </w:p>
    <w:p w:rsidR="006660B9" w:rsidRPr="00F5644D" w:rsidRDefault="004B250B" w:rsidP="003A16ED">
      <w:pPr>
        <w:pStyle w:val="Bodytext61"/>
        <w:shd w:val="clear" w:color="auto" w:fill="auto"/>
        <w:spacing w:before="240" w:line="276" w:lineRule="auto"/>
        <w:rPr>
          <w:lang w:val="ro-RO"/>
        </w:rPr>
      </w:pPr>
      <w:hyperlink r:id="rId11" w:history="1">
        <w:r w:rsidR="006660B9" w:rsidRPr="00F5644D">
          <w:rPr>
            <w:rStyle w:val="Bodytext60"/>
            <w:rFonts w:eastAsia="Arial Unicode MS"/>
            <w:b/>
            <w:bCs/>
            <w:i/>
            <w:iCs/>
            <w:lang w:val="ro-RO"/>
          </w:rPr>
          <w:t>Recomandarea</w:t>
        </w:r>
        <w:r w:rsidR="006660B9" w:rsidRPr="00F5644D">
          <w:rPr>
            <w:rStyle w:val="Bodytext62"/>
            <w:rFonts w:eastAsia="Arial Unicode MS"/>
            <w:b/>
            <w:bCs/>
            <w:i/>
            <w:iCs/>
            <w:lang w:val="ro-RO"/>
          </w:rPr>
          <w:t xml:space="preserve"> </w:t>
        </w:r>
      </w:hyperlink>
      <w:r w:rsidR="006660B9" w:rsidRPr="00F5644D">
        <w:rPr>
          <w:lang w:val="ro-RO"/>
        </w:rPr>
        <w:t>Consiliului Europei nr. R(2000)21 din 25 octombrie 2000</w:t>
      </w:r>
    </w:p>
    <w:p w:rsidR="006660B9" w:rsidRPr="00F5644D" w:rsidRDefault="006660B9" w:rsidP="003A16ED">
      <w:pPr>
        <w:pStyle w:val="Bodytext31"/>
        <w:shd w:val="clear" w:color="auto" w:fill="auto"/>
        <w:spacing w:before="240" w:line="276" w:lineRule="auto"/>
        <w:ind w:firstLine="0"/>
        <w:rPr>
          <w:lang w:val="ro-RO"/>
        </w:rPr>
      </w:pPr>
      <w:r w:rsidRPr="00F5644D">
        <w:rPr>
          <w:i w:val="0"/>
          <w:iCs w:val="0"/>
          <w:kern w:val="1"/>
          <w:lang w:val="ro-RO" w:eastAsia="hi-IN" w:bidi="hi-IN"/>
        </w:rPr>
        <w:t>Pe lângă jurisprudenţa bogată a instanţelor europene referitoare la comunicările privilegiate, este important să men</w:t>
      </w:r>
      <w:r>
        <w:rPr>
          <w:i w:val="0"/>
          <w:iCs w:val="0"/>
          <w:kern w:val="1"/>
          <w:lang w:val="ro-RO" w:eastAsia="hi-IN" w:bidi="hi-IN"/>
        </w:rPr>
        <w:t>ţ</w:t>
      </w:r>
      <w:r w:rsidRPr="00F5644D">
        <w:rPr>
          <w:i w:val="0"/>
          <w:iCs w:val="0"/>
          <w:kern w:val="1"/>
          <w:lang w:val="ro-RO" w:eastAsia="hi-IN" w:bidi="hi-IN"/>
        </w:rPr>
        <w:t>ionăm Recomandarea Consiliului Europei Rec (2000) 21 din 25 octombrie 2000 despre libertatea exercitării profesiei de avocat în Europa care prevede că</w:t>
      </w:r>
      <w:r w:rsidRPr="00F5644D">
        <w:rPr>
          <w:bCs/>
          <w:kern w:val="1"/>
          <w:lang w:val="ro-RO" w:eastAsia="hi-IN" w:bidi="hi-IN"/>
        </w:rPr>
        <w:t xml:space="preserve"> </w:t>
      </w:r>
      <w:r w:rsidRPr="00F5644D">
        <w:rPr>
          <w:lang w:val="ro-RO"/>
        </w:rPr>
        <w:t>“</w:t>
      </w:r>
      <w:r w:rsidRPr="00F5644D">
        <w:rPr>
          <w:rStyle w:val="Bodytext2Italic1"/>
          <w:rFonts w:eastAsia="Arial Unicode MS"/>
          <w:i/>
          <w:color w:val="000000"/>
          <w:u w:val="none"/>
          <w:lang w:val="ro-RO"/>
        </w:rPr>
        <w:t>Ar trebui luate toate măsurile pentru a asigura respectarea confidenţialităţii relaţiei avocat-client. Excepţiile la acest principiu ar trebui permise doar dacă sunt compatibile cu statul de drept.” (principiul I, alineatul 6) şi că „Secretul profesional ar trebui respectat de către avocaţi în conformitate cu normele, regulamentele şi standardele profesionale. Orice încălcare a acestei confiden</w:t>
      </w:r>
      <w:r>
        <w:rPr>
          <w:rStyle w:val="Bodytext2Italic1"/>
          <w:rFonts w:eastAsia="Arial Unicode MS"/>
          <w:i/>
          <w:color w:val="000000"/>
          <w:u w:val="none"/>
          <w:lang w:val="ro-RO"/>
        </w:rPr>
        <w:t>ţ</w:t>
      </w:r>
      <w:r w:rsidRPr="00F5644D">
        <w:rPr>
          <w:rStyle w:val="Bodytext2Italic1"/>
          <w:rFonts w:eastAsia="Arial Unicode MS"/>
          <w:i/>
          <w:color w:val="000000"/>
          <w:u w:val="none"/>
          <w:lang w:val="ro-RO"/>
        </w:rPr>
        <w:t>ialită</w:t>
      </w:r>
      <w:r>
        <w:rPr>
          <w:rStyle w:val="Bodytext2Italic1"/>
          <w:rFonts w:eastAsia="Arial Unicode MS"/>
          <w:i/>
          <w:color w:val="000000"/>
          <w:u w:val="none"/>
          <w:lang w:val="ro-RO"/>
        </w:rPr>
        <w:t>ţ</w:t>
      </w:r>
      <w:r w:rsidRPr="00F5644D">
        <w:rPr>
          <w:rStyle w:val="Bodytext2Italic1"/>
          <w:rFonts w:eastAsia="Arial Unicode MS"/>
          <w:i/>
          <w:color w:val="000000"/>
          <w:u w:val="none"/>
          <w:lang w:val="ro-RO"/>
        </w:rPr>
        <w:t>i fără acordul clientului ar trebui să facă obiectul unor sancţiuni corespunzătoare.” (principiul III, alineatul</w:t>
      </w:r>
      <w:r w:rsidRPr="00F5644D">
        <w:rPr>
          <w:bCs/>
          <w:kern w:val="1"/>
          <w:lang w:val="ro-RO" w:eastAsia="hi-IN" w:bidi="hi-IN"/>
        </w:rPr>
        <w:t xml:space="preserve"> 2).</w:t>
      </w:r>
    </w:p>
    <w:p w:rsidR="006660B9" w:rsidRPr="00F5644D" w:rsidRDefault="006660B9" w:rsidP="003A16ED">
      <w:pPr>
        <w:pStyle w:val="Bodytext61"/>
        <w:shd w:val="clear" w:color="auto" w:fill="auto"/>
        <w:spacing w:before="240" w:line="276" w:lineRule="auto"/>
        <w:rPr>
          <w:lang w:val="ro-RO"/>
        </w:rPr>
      </w:pPr>
      <w:r w:rsidRPr="00F5644D">
        <w:rPr>
          <w:lang w:val="ro-RO"/>
        </w:rPr>
        <w:t xml:space="preserve">Documentele CCBE </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CCBE </w:t>
      </w:r>
      <w:r w:rsidRPr="00F5644D">
        <w:rPr>
          <w:kern w:val="1"/>
          <w:lang w:val="ro-RO"/>
        </w:rPr>
        <w:t xml:space="preserve">acordă o mare atenţie valorilor fundamentale ale profesiei </w:t>
      </w:r>
      <w:r w:rsidRPr="00F5644D">
        <w:rPr>
          <w:lang w:val="ro-RO"/>
        </w:rPr>
        <w:t xml:space="preserve">juridice în Europa, </w:t>
      </w:r>
      <w:r w:rsidRPr="00F5644D">
        <w:rPr>
          <w:kern w:val="1"/>
          <w:lang w:val="ro-RO"/>
        </w:rPr>
        <w:t>inclusiv secretului profesional</w:t>
      </w:r>
      <w:r w:rsidRPr="00F5644D">
        <w:rPr>
          <w:lang w:val="ro-RO"/>
        </w:rPr>
        <w:t xml:space="preserve"> </w:t>
      </w:r>
      <w:r>
        <w:rPr>
          <w:lang w:val="ro-RO"/>
        </w:rPr>
        <w:t>ş</w:t>
      </w:r>
      <w:r w:rsidRPr="00F5644D">
        <w:rPr>
          <w:lang w:val="ro-RO"/>
        </w:rPr>
        <w:t xml:space="preserve">i privilegiului profesiei juridice. Din acest motiv, </w:t>
      </w:r>
      <w:r w:rsidRPr="00F5644D">
        <w:rPr>
          <w:kern w:val="1"/>
          <w:lang w:val="ro-RO"/>
        </w:rPr>
        <w:t xml:space="preserve">la momentul publicării documentului de faţă, CBBE </w:t>
      </w:r>
      <w:r w:rsidRPr="00F5644D">
        <w:rPr>
          <w:lang w:val="ro-RO"/>
        </w:rPr>
        <w:t xml:space="preserve">este în curs de finalizare a lucrării intitulate </w:t>
      </w:r>
      <w:r w:rsidRPr="00F5644D">
        <w:rPr>
          <w:rStyle w:val="Bodytext2Italic"/>
          <w:rFonts w:eastAsia="Arial Unicode MS"/>
          <w:lang w:val="ro-RO"/>
        </w:rPr>
        <w:t>‘</w:t>
      </w:r>
      <w:r w:rsidRPr="00F5644D">
        <w:rPr>
          <w:i/>
          <w:kern w:val="1"/>
          <w:lang w:val="ro-RO"/>
        </w:rPr>
        <w:t>Către un model de cod deontologic</w:t>
      </w:r>
      <w:r w:rsidRPr="00F5644D">
        <w:rPr>
          <w:rStyle w:val="Bodytext2Italic"/>
          <w:rFonts w:eastAsia="Arial Unicode MS"/>
          <w:i w:val="0"/>
          <w:lang w:val="ro-RO"/>
        </w:rPr>
        <w:t>’</w:t>
      </w:r>
      <w:r w:rsidRPr="00F5644D">
        <w:rPr>
          <w:rStyle w:val="Bodytext2Italic"/>
          <w:rFonts w:eastAsia="Arial Unicode MS"/>
          <w:lang w:val="ro-RO"/>
        </w:rPr>
        <w:t xml:space="preserve">, </w:t>
      </w:r>
      <w:r w:rsidRPr="00F5644D">
        <w:rPr>
          <w:kern w:val="1"/>
          <w:lang w:val="ro-RO"/>
        </w:rPr>
        <w:t>care va servi drept model pentru barourile naţionale şi societăţile de drept în momentul în care vor revizui regulamentele naţionale. Acest model de cod va aborda</w:t>
      </w:r>
      <w:r w:rsidRPr="00F5644D">
        <w:rPr>
          <w:lang w:val="ro-RO"/>
        </w:rPr>
        <w:t xml:space="preserve">, </w:t>
      </w:r>
      <w:r w:rsidRPr="00F5644D">
        <w:rPr>
          <w:kern w:val="1"/>
          <w:lang w:val="ro-RO"/>
        </w:rPr>
        <w:t>printre altele</w:t>
      </w:r>
      <w:r w:rsidRPr="00F5644D">
        <w:rPr>
          <w:lang w:val="ro-RO"/>
        </w:rPr>
        <w:t xml:space="preserve">, </w:t>
      </w:r>
      <w:r>
        <w:rPr>
          <w:lang w:val="ro-RO"/>
        </w:rPr>
        <w:t>ş</w:t>
      </w:r>
      <w:r w:rsidRPr="00F5644D">
        <w:rPr>
          <w:kern w:val="1"/>
          <w:lang w:val="ro-RO"/>
        </w:rPr>
        <w:t>i problema confiden</w:t>
      </w:r>
      <w:r>
        <w:rPr>
          <w:kern w:val="1"/>
          <w:lang w:val="ro-RO"/>
        </w:rPr>
        <w:t>ţ</w:t>
      </w:r>
      <w:r w:rsidRPr="00F5644D">
        <w:rPr>
          <w:kern w:val="1"/>
          <w:lang w:val="ro-RO"/>
        </w:rPr>
        <w:t>ialităţii şi va avea în vedere jurisprudenţa existentă la nivelul instanţelor europene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prezent, CCBE are două documente principale care abordează tema confiden</w:t>
      </w:r>
      <w:r>
        <w:rPr>
          <w:lang w:val="ro-RO"/>
        </w:rPr>
        <w:t>ţ</w:t>
      </w:r>
      <w:r w:rsidRPr="00F5644D">
        <w:rPr>
          <w:lang w:val="ro-RO"/>
        </w:rPr>
        <w:t>ialită</w:t>
      </w:r>
      <w:r>
        <w:rPr>
          <w:lang w:val="ro-RO"/>
        </w:rPr>
        <w:t>ţ</w:t>
      </w:r>
      <w:r w:rsidRPr="00F5644D">
        <w:rPr>
          <w:lang w:val="ro-RO"/>
        </w:rPr>
        <w:t>ii.</w:t>
      </w:r>
    </w:p>
    <w:p w:rsidR="006660B9" w:rsidRPr="00F5644D" w:rsidRDefault="006660B9" w:rsidP="003A16ED">
      <w:pPr>
        <w:pStyle w:val="Bodytext21"/>
        <w:numPr>
          <w:ilvl w:val="0"/>
          <w:numId w:val="4"/>
        </w:numPr>
        <w:shd w:val="clear" w:color="auto" w:fill="auto"/>
        <w:spacing w:before="240" w:line="276" w:lineRule="auto"/>
        <w:ind w:left="360" w:hanging="360"/>
        <w:jc w:val="both"/>
        <w:rPr>
          <w:lang w:val="ro-RO"/>
        </w:rPr>
      </w:pPr>
      <w:r w:rsidRPr="00F5644D">
        <w:rPr>
          <w:lang w:val="ro-RO"/>
        </w:rPr>
        <w:t>În primul rând,</w:t>
      </w:r>
      <w:hyperlink r:id="rId12" w:history="1">
        <w:r w:rsidRPr="00F5644D">
          <w:rPr>
            <w:lang w:val="ro-RO"/>
          </w:rPr>
          <w:t xml:space="preserve"> </w:t>
        </w:r>
        <w:r w:rsidRPr="00F5644D">
          <w:rPr>
            <w:rStyle w:val="Bodytext20"/>
            <w:rFonts w:eastAsia="Arial Unicode MS"/>
            <w:lang w:val="ro-RO"/>
          </w:rPr>
          <w:t>Carta principiilor fundamentale ale avocatului european</w:t>
        </w:r>
        <w:r w:rsidRPr="00F5644D">
          <w:rPr>
            <w:lang w:val="ro-RO"/>
          </w:rPr>
          <w:t xml:space="preserve">, </w:t>
        </w:r>
      </w:hyperlink>
      <w:r w:rsidRPr="00F5644D">
        <w:rPr>
          <w:lang w:val="ro-RO"/>
        </w:rPr>
        <w:t xml:space="preserve">adoptată în data de 24 noiembrie 2006, care include o listă de zece principii fundamentale, comune </w:t>
      </w:r>
      <w:r w:rsidRPr="00F5644D">
        <w:rPr>
          <w:rFonts w:cs="Mangal"/>
          <w:kern w:val="1"/>
          <w:lang w:val="ro-RO"/>
        </w:rPr>
        <w:t>regulamentelor naţionale şi internaţionale care guvernează profesia de avocat. Principiile Cartei prevăd următoarele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w:t>
      </w:r>
      <w:r w:rsidRPr="00F5644D">
        <w:rPr>
          <w:kern w:val="1"/>
          <w:lang w:val="ro-RO"/>
        </w:rPr>
        <w:t xml:space="preserve">Principiul </w:t>
      </w:r>
      <w:r w:rsidRPr="00F5644D">
        <w:rPr>
          <w:lang w:val="ro-RO"/>
        </w:rPr>
        <w:t xml:space="preserve">(b) - </w:t>
      </w:r>
      <w:r w:rsidRPr="00F5644D">
        <w:rPr>
          <w:kern w:val="1"/>
          <w:lang w:val="ro-RO"/>
        </w:rPr>
        <w:t>dreptul şi datoria avocatului de a respecta secretul profesional şi confidenţialitatea cauzelor ce i-au fost încredinţate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kern w:val="1"/>
          <w:lang w:val="ro-RO"/>
        </w:rPr>
        <w:t>Esenţa profesiei de avocat include şi faptul că acestuia i se vor comunica lucruri pe care clientul nu i le-ar spune altei persoane – cele mai intime detalii ale vieţii private sau cele mai valoroase secrete comerciale – şi că avocatul ar trebui să primească astfel informa</w:t>
      </w:r>
      <w:r>
        <w:rPr>
          <w:kern w:val="1"/>
          <w:lang w:val="ro-RO"/>
        </w:rPr>
        <w:t>ţ</w:t>
      </w:r>
      <w:r w:rsidRPr="00F5644D">
        <w:rPr>
          <w:kern w:val="1"/>
          <w:lang w:val="ro-RO"/>
        </w:rPr>
        <w:t xml:space="preserve">ii </w:t>
      </w:r>
      <w:r w:rsidRPr="00F5644D">
        <w:rPr>
          <w:lang w:val="ro-RO"/>
        </w:rPr>
        <w:t xml:space="preserve">pe bază de încredere. </w:t>
      </w:r>
      <w:r w:rsidRPr="00F5644D">
        <w:rPr>
          <w:kern w:val="1"/>
          <w:lang w:val="ro-RO"/>
        </w:rPr>
        <w:t>Fără garan</w:t>
      </w:r>
      <w:r>
        <w:rPr>
          <w:kern w:val="1"/>
          <w:lang w:val="ro-RO"/>
        </w:rPr>
        <w:t>ţ</w:t>
      </w:r>
      <w:r w:rsidRPr="00F5644D">
        <w:rPr>
          <w:kern w:val="1"/>
          <w:lang w:val="ro-RO"/>
        </w:rPr>
        <w:t>ia confidenţialităţii nu poate exista încredere</w:t>
      </w:r>
      <w:r w:rsidRPr="00F5644D">
        <w:rPr>
          <w:lang w:val="ro-RO"/>
        </w:rPr>
        <w:t xml:space="preserve">. </w:t>
      </w:r>
      <w:r w:rsidRPr="00F5644D">
        <w:rPr>
          <w:kern w:val="1"/>
          <w:lang w:val="ro-RO"/>
        </w:rPr>
        <w:t xml:space="preserve">Carta </w:t>
      </w:r>
      <w:r w:rsidRPr="00F5644D">
        <w:rPr>
          <w:lang w:val="ro-RO"/>
        </w:rPr>
        <w:t>eviden</w:t>
      </w:r>
      <w:r>
        <w:rPr>
          <w:lang w:val="ro-RO"/>
        </w:rPr>
        <w:t>ţ</w:t>
      </w:r>
      <w:r w:rsidRPr="00F5644D">
        <w:rPr>
          <w:lang w:val="ro-RO"/>
        </w:rPr>
        <w:t xml:space="preserve">iază dualitatea naturii acestui principiu </w:t>
      </w:r>
      <w:r>
        <w:rPr>
          <w:lang w:val="ro-RO"/>
        </w:rPr>
        <w:t>–</w:t>
      </w:r>
      <w:r w:rsidRPr="00F5644D">
        <w:rPr>
          <w:lang w:val="ro-RO"/>
        </w:rPr>
        <w:t xml:space="preserve"> </w:t>
      </w:r>
      <w:r>
        <w:rPr>
          <w:lang w:val="ro-RO"/>
        </w:rPr>
        <w:t xml:space="preserve">respectarea </w:t>
      </w:r>
      <w:r w:rsidRPr="00F5644D">
        <w:rPr>
          <w:kern w:val="1"/>
          <w:lang w:val="ro-RO"/>
        </w:rPr>
        <w:t>confidenţialităţii nu este doar obligaţia avocatului, ci este un drept fundamental al clientului. Regulile</w:t>
      </w:r>
      <w:r w:rsidRPr="00F5644D">
        <w:rPr>
          <w:lang w:val="ro-RO"/>
        </w:rPr>
        <w:t xml:space="preserve"> “privilegiului profesional” </w:t>
      </w:r>
      <w:r w:rsidRPr="00F5644D">
        <w:rPr>
          <w:kern w:val="1"/>
          <w:lang w:val="ro-RO"/>
        </w:rPr>
        <w:t xml:space="preserve">interzic ca informaţia comunicată între avocat </w:t>
      </w:r>
      <w:r>
        <w:rPr>
          <w:kern w:val="1"/>
          <w:lang w:val="ro-RO"/>
        </w:rPr>
        <w:t>ş</w:t>
      </w:r>
      <w:r w:rsidRPr="00F5644D">
        <w:rPr>
          <w:kern w:val="1"/>
          <w:lang w:val="ro-RO"/>
        </w:rPr>
        <w:t>i client să fie folosită împotriva clientului</w:t>
      </w:r>
      <w:r w:rsidRPr="00F5644D">
        <w:rPr>
          <w:lang w:val="ro-RO"/>
        </w:rPr>
        <w:t xml:space="preserve">. </w:t>
      </w:r>
      <w:r w:rsidRPr="00F5644D">
        <w:rPr>
          <w:kern w:val="1"/>
          <w:lang w:val="ro-RO"/>
        </w:rPr>
        <w:t>În unele jurisdicţii, dreptul la confidenţialitate este privit ca un drept care aparţine exclusiv clientului, în timp ce în alte jurisdicţii</w:t>
      </w:r>
      <w:r w:rsidRPr="00F5644D">
        <w:rPr>
          <w:lang w:val="ro-RO"/>
        </w:rPr>
        <w:t xml:space="preserve"> “secretul profesional” </w:t>
      </w:r>
      <w:r w:rsidRPr="00F5644D">
        <w:rPr>
          <w:kern w:val="1"/>
          <w:lang w:val="ro-RO"/>
        </w:rPr>
        <w:t>poate necesita ca avocatul să păstreze secretul clientului său, împărtăşit în bază de încredere, faţă de avocatul părţii adverse. Principiul (b) conţine toate aceste concepte înrudite – privilegiul profesiei juridice, confidenţialitatea şi secretul profesional. Datoria avocatului faţă de client rămâne chiar şi după ce avocatul încetează să mai acţioneze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rPr>
        <w:t>Este important să observăm că această Cartă a CCBE nu este concepută ca un cod de conduită</w:t>
      </w:r>
      <w:r w:rsidRPr="00F5644D">
        <w:rPr>
          <w:lang w:val="ro-RO"/>
        </w:rPr>
        <w:t xml:space="preserve">. </w:t>
      </w:r>
      <w:r w:rsidRPr="00F5644D">
        <w:rPr>
          <w:kern w:val="1"/>
          <w:lang w:val="ro-RO"/>
        </w:rPr>
        <w:t>Cu toate acestea, scopul ei este acela de a fi aplicată pe întreg teritoriul Europei de către fiecare stat, indiferent dacă statutul acestuia este de membru, asociat sau observator în cadrul CCBE. Printre altele, scopul Cartei este acela de a veni în sprijinul barourilor care depun eforturi pentru a-şi edifica independenţa, precum şi de a spori gradul de înţelegere de către avocaţi a importanţei rolului avocatului în societate; vizează avocaţii, decidenţii şi publicul larg</w:t>
      </w:r>
      <w:r w:rsidRPr="00F5644D">
        <w:rPr>
          <w:lang w:val="ro-RO"/>
        </w:rPr>
        <w:t>.</w:t>
      </w:r>
    </w:p>
    <w:p w:rsidR="006660B9" w:rsidRPr="00F5644D" w:rsidRDefault="006660B9" w:rsidP="003A16ED">
      <w:pPr>
        <w:pStyle w:val="Bodytext21"/>
        <w:numPr>
          <w:ilvl w:val="0"/>
          <w:numId w:val="4"/>
        </w:numPr>
        <w:shd w:val="clear" w:color="auto" w:fill="auto"/>
        <w:spacing w:before="240" w:line="276" w:lineRule="auto"/>
        <w:ind w:left="360" w:hanging="360"/>
        <w:jc w:val="both"/>
        <w:rPr>
          <w:lang w:val="ro-RO"/>
        </w:rPr>
      </w:pPr>
      <w:r w:rsidRPr="00F5644D">
        <w:rPr>
          <w:rFonts w:cs="Mangal"/>
          <w:kern w:val="1"/>
          <w:lang w:val="ro-RO"/>
        </w:rPr>
        <w:t>În al doilea rând, există şi</w:t>
      </w:r>
      <w:r w:rsidRPr="00F5644D">
        <w:rPr>
          <w:lang w:val="ro-RO"/>
        </w:rPr>
        <w:t xml:space="preserve"> </w:t>
      </w:r>
      <w:r w:rsidRPr="00F5644D">
        <w:rPr>
          <w:rStyle w:val="Bodytext20"/>
          <w:rFonts w:eastAsia="Arial Unicode MS"/>
          <w:lang w:val="ro-RO"/>
        </w:rPr>
        <w:t xml:space="preserve">Codul deontologic </w:t>
      </w:r>
      <w:r w:rsidRPr="00F5644D">
        <w:rPr>
          <w:lang w:val="ro-RO"/>
        </w:rPr>
        <w:t>pentru avoca</w:t>
      </w:r>
      <w:r>
        <w:rPr>
          <w:lang w:val="ro-RO"/>
        </w:rPr>
        <w:t>ţ</w:t>
      </w:r>
      <w:r w:rsidRPr="00F5644D">
        <w:rPr>
          <w:lang w:val="ro-RO"/>
        </w:rPr>
        <w:t>ii europeni al CCBE, din 28 octombrie 1988, revizuit ultima dată în 2006, care con</w:t>
      </w:r>
      <w:r>
        <w:rPr>
          <w:lang w:val="ro-RO"/>
        </w:rPr>
        <w:t>ţ</w:t>
      </w:r>
      <w:r w:rsidRPr="00F5644D">
        <w:rPr>
          <w:lang w:val="ro-RO"/>
        </w:rPr>
        <w:t>ine, de asemenea, o prevedere referitoare la confiden</w:t>
      </w:r>
      <w:r>
        <w:rPr>
          <w:lang w:val="ro-RO"/>
        </w:rPr>
        <w:t>ţ</w:t>
      </w:r>
      <w:r w:rsidRPr="00F5644D">
        <w:rPr>
          <w:lang w:val="ro-RO"/>
        </w:rPr>
        <w:t>ialitate:</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“2.3. Confiden</w:t>
      </w:r>
      <w:r>
        <w:rPr>
          <w:lang w:val="ro-RO"/>
        </w:rPr>
        <w:t>ţ</w:t>
      </w:r>
      <w:r w:rsidRPr="00F5644D">
        <w:rPr>
          <w:lang w:val="ro-RO"/>
        </w:rPr>
        <w:t>ialitatea</w:t>
      </w:r>
    </w:p>
    <w:p w:rsidR="006660B9" w:rsidRPr="00F5644D" w:rsidRDefault="006660B9" w:rsidP="003A16ED">
      <w:pPr>
        <w:pStyle w:val="Bodytext31"/>
        <w:numPr>
          <w:ilvl w:val="0"/>
          <w:numId w:val="5"/>
        </w:numPr>
        <w:shd w:val="clear" w:color="auto" w:fill="auto"/>
        <w:spacing w:before="240" w:line="276" w:lineRule="auto"/>
        <w:ind w:firstLine="0"/>
        <w:rPr>
          <w:lang w:val="ro-RO"/>
        </w:rPr>
      </w:pPr>
      <w:r w:rsidRPr="00F5644D">
        <w:rPr>
          <w:kern w:val="1"/>
          <w:lang w:val="ro-RO"/>
        </w:rPr>
        <w:t>Esenţa profesiei de avocat include şi faptul că acestuia i se vor comunica lucruri pe care clientul nu i le-ar spune altei persoane şi că avocatul ar trebui să primească astfel informa</w:t>
      </w:r>
      <w:r>
        <w:rPr>
          <w:kern w:val="1"/>
          <w:lang w:val="ro-RO"/>
        </w:rPr>
        <w:t>ţ</w:t>
      </w:r>
      <w:r w:rsidRPr="00F5644D">
        <w:rPr>
          <w:kern w:val="1"/>
          <w:lang w:val="ro-RO"/>
        </w:rPr>
        <w:t xml:space="preserve">ii </w:t>
      </w:r>
      <w:r w:rsidRPr="00F5644D">
        <w:rPr>
          <w:lang w:val="ro-RO"/>
        </w:rPr>
        <w:t xml:space="preserve">pe bază de încredere. </w:t>
      </w:r>
      <w:r w:rsidRPr="00F5644D">
        <w:rPr>
          <w:kern w:val="1"/>
          <w:lang w:val="ro-RO"/>
        </w:rPr>
        <w:t>Fără garan</w:t>
      </w:r>
      <w:r>
        <w:rPr>
          <w:kern w:val="1"/>
          <w:lang w:val="ro-RO"/>
        </w:rPr>
        <w:t>ţ</w:t>
      </w:r>
      <w:r w:rsidRPr="00F5644D">
        <w:rPr>
          <w:kern w:val="1"/>
          <w:lang w:val="ro-RO"/>
        </w:rPr>
        <w:t>ia confidenţialităţii nu poate exista încredere. Prin urmare, confiden</w:t>
      </w:r>
      <w:r>
        <w:rPr>
          <w:kern w:val="1"/>
          <w:lang w:val="ro-RO"/>
        </w:rPr>
        <w:t>ţ</w:t>
      </w:r>
      <w:r w:rsidRPr="00F5644D">
        <w:rPr>
          <w:kern w:val="1"/>
          <w:lang w:val="ro-RO"/>
        </w:rPr>
        <w:t xml:space="preserve">ialitatea constituie un drept </w:t>
      </w:r>
      <w:r>
        <w:rPr>
          <w:kern w:val="1"/>
          <w:lang w:val="ro-RO"/>
        </w:rPr>
        <w:t>ş</w:t>
      </w:r>
      <w:r w:rsidRPr="00F5644D">
        <w:rPr>
          <w:kern w:val="1"/>
          <w:lang w:val="ro-RO"/>
        </w:rPr>
        <w:t xml:space="preserve">i o îndatorire primordială </w:t>
      </w:r>
      <w:r>
        <w:rPr>
          <w:kern w:val="1"/>
          <w:lang w:val="ro-RO"/>
        </w:rPr>
        <w:t>ş</w:t>
      </w:r>
      <w:r w:rsidRPr="00F5644D">
        <w:rPr>
          <w:kern w:val="1"/>
          <w:lang w:val="ro-RO"/>
        </w:rPr>
        <w:t>i fundamentală a avocatului</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Obliga</w:t>
      </w:r>
      <w:r>
        <w:rPr>
          <w:lang w:val="ro-RO"/>
        </w:rPr>
        <w:t>ţ</w:t>
      </w:r>
      <w:r w:rsidRPr="00F5644D">
        <w:rPr>
          <w:lang w:val="ro-RO"/>
        </w:rPr>
        <w:t>ia avocatului de a respecta confiden</w:t>
      </w:r>
      <w:r>
        <w:rPr>
          <w:lang w:val="ro-RO"/>
        </w:rPr>
        <w:t>ţ</w:t>
      </w:r>
      <w:r w:rsidRPr="00F5644D">
        <w:rPr>
          <w:lang w:val="ro-RO"/>
        </w:rPr>
        <w:t xml:space="preserve">ialitatea </w:t>
      </w:r>
      <w:r w:rsidRPr="00F5644D">
        <w:rPr>
          <w:kern w:val="1"/>
          <w:lang w:val="ro-RO"/>
        </w:rPr>
        <w:t>serveşte atât intereselor administrării justiţiei, cât şi intereselor clientului. În consecinţă, aceasta trebuie să beneficieze de o protecţie specială din partea statului</w:t>
      </w:r>
      <w:r w:rsidRPr="00F5644D">
        <w:rPr>
          <w:lang w:val="ro-RO"/>
        </w:rPr>
        <w:t>.</w:t>
      </w:r>
    </w:p>
    <w:p w:rsidR="006660B9" w:rsidRPr="00F5644D" w:rsidRDefault="006660B9" w:rsidP="003A16ED">
      <w:pPr>
        <w:pStyle w:val="Bodytext31"/>
        <w:numPr>
          <w:ilvl w:val="0"/>
          <w:numId w:val="5"/>
        </w:numPr>
        <w:shd w:val="clear" w:color="auto" w:fill="auto"/>
        <w:spacing w:before="240" w:line="276" w:lineRule="auto"/>
        <w:ind w:firstLine="0"/>
        <w:rPr>
          <w:lang w:val="ro-RO"/>
        </w:rPr>
      </w:pPr>
      <w:r w:rsidRPr="00F5644D">
        <w:rPr>
          <w:kern w:val="1"/>
          <w:lang w:val="ro-RO"/>
        </w:rPr>
        <w:t>Avocatul trebuie să respecte confiden</w:t>
      </w:r>
      <w:r>
        <w:rPr>
          <w:kern w:val="1"/>
          <w:lang w:val="ro-RO"/>
        </w:rPr>
        <w:t>ţ</w:t>
      </w:r>
      <w:r w:rsidRPr="00F5644D">
        <w:rPr>
          <w:kern w:val="1"/>
          <w:lang w:val="ro-RO"/>
        </w:rPr>
        <w:t>ialitatea oricărei informa</w:t>
      </w:r>
      <w:r>
        <w:rPr>
          <w:kern w:val="1"/>
          <w:lang w:val="ro-RO"/>
        </w:rPr>
        <w:t>ţ</w:t>
      </w:r>
      <w:r w:rsidRPr="00F5644D">
        <w:rPr>
          <w:kern w:val="1"/>
          <w:lang w:val="ro-RO"/>
        </w:rPr>
        <w:t>ii de care ia cunoştinţă în cadrul activităţii sale profesionale</w:t>
      </w:r>
      <w:r w:rsidRPr="00F5644D">
        <w:rPr>
          <w:lang w:val="ro-RO"/>
        </w:rPr>
        <w:t>.</w:t>
      </w:r>
    </w:p>
    <w:p w:rsidR="006660B9" w:rsidRPr="00F5644D" w:rsidRDefault="006660B9" w:rsidP="003A16ED">
      <w:pPr>
        <w:pStyle w:val="Bodytext31"/>
        <w:numPr>
          <w:ilvl w:val="0"/>
          <w:numId w:val="5"/>
        </w:numPr>
        <w:shd w:val="clear" w:color="auto" w:fill="auto"/>
        <w:spacing w:before="240" w:line="276" w:lineRule="auto"/>
        <w:ind w:firstLine="0"/>
        <w:rPr>
          <w:lang w:val="ro-RO"/>
        </w:rPr>
      </w:pPr>
      <w:r w:rsidRPr="00F5644D">
        <w:rPr>
          <w:lang w:val="ro-RO"/>
        </w:rPr>
        <w:t>Obliga</w:t>
      </w:r>
      <w:r>
        <w:rPr>
          <w:lang w:val="ro-RO"/>
        </w:rPr>
        <w:t>ţ</w:t>
      </w:r>
      <w:r w:rsidRPr="00F5644D">
        <w:rPr>
          <w:lang w:val="ro-RO"/>
        </w:rPr>
        <w:t>ia respectării confiden</w:t>
      </w:r>
      <w:r>
        <w:rPr>
          <w:lang w:val="ro-RO"/>
        </w:rPr>
        <w:t>ţ</w:t>
      </w:r>
      <w:r w:rsidRPr="00F5644D">
        <w:rPr>
          <w:lang w:val="ro-RO"/>
        </w:rPr>
        <w:t>ialită</w:t>
      </w:r>
      <w:r>
        <w:rPr>
          <w:lang w:val="ro-RO"/>
        </w:rPr>
        <w:t>ţ</w:t>
      </w:r>
      <w:r w:rsidRPr="00F5644D">
        <w:rPr>
          <w:lang w:val="ro-RO"/>
        </w:rPr>
        <w:t xml:space="preserve">ii </w:t>
      </w:r>
      <w:r w:rsidRPr="00F5644D">
        <w:rPr>
          <w:kern w:val="1"/>
          <w:lang w:val="ro-RO"/>
        </w:rPr>
        <w:t>nu este limitată în timp</w:t>
      </w:r>
      <w:r w:rsidRPr="00F5644D">
        <w:rPr>
          <w:lang w:val="ro-RO"/>
        </w:rPr>
        <w:t>.</w:t>
      </w:r>
    </w:p>
    <w:p w:rsidR="006660B9" w:rsidRPr="00F5644D" w:rsidRDefault="006660B9" w:rsidP="003A16ED">
      <w:pPr>
        <w:pStyle w:val="Bodytext31"/>
        <w:numPr>
          <w:ilvl w:val="0"/>
          <w:numId w:val="5"/>
        </w:numPr>
        <w:shd w:val="clear" w:color="auto" w:fill="auto"/>
        <w:spacing w:before="240" w:line="276" w:lineRule="auto"/>
        <w:ind w:firstLine="0"/>
        <w:rPr>
          <w:lang w:val="ro-RO"/>
        </w:rPr>
      </w:pPr>
      <w:r w:rsidRPr="00F5644D">
        <w:rPr>
          <w:kern w:val="1"/>
          <w:lang w:val="ro-RO"/>
        </w:rPr>
        <w:t>Avocatul impune asociaţilor şi angajaţilor săi şi oricărei persoane care colaborează cu el în activitatea sa profesională să respecte aceleaşi obligaţii privitoare la respectarea confiden</w:t>
      </w:r>
      <w:r>
        <w:rPr>
          <w:kern w:val="1"/>
          <w:lang w:val="ro-RO"/>
        </w:rPr>
        <w:t>ţ</w:t>
      </w:r>
      <w:r w:rsidRPr="00F5644D">
        <w:rPr>
          <w:kern w:val="1"/>
          <w:lang w:val="ro-RO"/>
        </w:rPr>
        <w:t>ialită</w:t>
      </w:r>
      <w:r>
        <w:rPr>
          <w:kern w:val="1"/>
          <w:lang w:val="ro-RO"/>
        </w:rPr>
        <w:t>ţ</w:t>
      </w:r>
      <w:r w:rsidRPr="00F5644D">
        <w:rPr>
          <w:kern w:val="1"/>
          <w:lang w:val="ro-RO"/>
        </w:rPr>
        <w:t>ii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kern w:val="1"/>
          <w:lang w:val="ro-RO"/>
        </w:rPr>
        <w:t>Spre deosebire de Cartă, Codul reprezintă un text obligatoriu pentru toate barourile şi societăţile de drept membre CCBE, cu alte cuvinte toţi avocaţii care sunt membri ai barourilor din aceste ţări (indiferent care este statutul barourilor de care aparţin în CCBE - membru plin, asociat sau observator) trebuie să respecte Codul în cadrul activităţilor transfrontaliere desfăşurate la nivelul Uniunii Europene şi al Confederaţiei Elveţiei, precum şi în cadrul ţărilor cu statut de asociat şi observator</w:t>
      </w:r>
      <w:r w:rsidRPr="00F5644D">
        <w:rPr>
          <w:lang w:val="ro-RO"/>
        </w:rPr>
        <w:t>.</w:t>
      </w:r>
    </w:p>
    <w:p w:rsidR="006660B9" w:rsidRPr="00F5644D" w:rsidRDefault="006660B9" w:rsidP="003A16ED">
      <w:pPr>
        <w:pStyle w:val="Bodytext40"/>
        <w:shd w:val="clear" w:color="auto" w:fill="auto"/>
        <w:spacing w:before="240" w:line="276" w:lineRule="auto"/>
        <w:rPr>
          <w:lang w:val="ro-RO"/>
        </w:rPr>
      </w:pPr>
      <w:r w:rsidRPr="00F5644D">
        <w:rPr>
          <w:lang w:val="ro-RO"/>
        </w:rPr>
        <w:t>Cele de mai sus demonstrează că principiului confidenţialităţii comunicării dintre client şi avocat i se acordă o importan</w:t>
      </w:r>
      <w:r>
        <w:rPr>
          <w:lang w:val="ro-RO"/>
        </w:rPr>
        <w:t>ţ</w:t>
      </w:r>
      <w:r w:rsidRPr="00F5644D">
        <w:rPr>
          <w:lang w:val="ro-RO"/>
        </w:rPr>
        <w:t xml:space="preserve">ă deosebită de către instanţele europene </w:t>
      </w:r>
      <w:r>
        <w:rPr>
          <w:lang w:val="ro-RO"/>
        </w:rPr>
        <w:t>ş</w:t>
      </w:r>
      <w:r w:rsidRPr="00F5644D">
        <w:rPr>
          <w:lang w:val="ro-RO"/>
        </w:rPr>
        <w:t>i alte organisme europene relevante. Confiden</w:t>
      </w:r>
      <w:r>
        <w:rPr>
          <w:lang w:val="ro-RO"/>
        </w:rPr>
        <w:t>ţ</w:t>
      </w:r>
      <w:r w:rsidRPr="00F5644D">
        <w:rPr>
          <w:lang w:val="ro-RO"/>
        </w:rPr>
        <w:t xml:space="preserve">ialitatea nu este văzută doar ca o datorie a avocatului, ci </w:t>
      </w:r>
      <w:r>
        <w:rPr>
          <w:lang w:val="ro-RO"/>
        </w:rPr>
        <w:t>ş</w:t>
      </w:r>
      <w:r w:rsidRPr="00F5644D">
        <w:rPr>
          <w:lang w:val="ro-RO"/>
        </w:rPr>
        <w:t>i ca un drept fundamental al clientului. Fără garan</w:t>
      </w:r>
      <w:r>
        <w:rPr>
          <w:lang w:val="ro-RO"/>
        </w:rPr>
        <w:t>ţ</w:t>
      </w:r>
      <w:r w:rsidRPr="00F5644D">
        <w:rPr>
          <w:lang w:val="ro-RO"/>
        </w:rPr>
        <w:t>ia confiden</w:t>
      </w:r>
      <w:r>
        <w:rPr>
          <w:lang w:val="ro-RO"/>
        </w:rPr>
        <w:t>ţ</w:t>
      </w:r>
      <w:r w:rsidRPr="00F5644D">
        <w:rPr>
          <w:lang w:val="ro-RO"/>
        </w:rPr>
        <w:t>ialită</w:t>
      </w:r>
      <w:r>
        <w:rPr>
          <w:lang w:val="ro-RO"/>
        </w:rPr>
        <w:t>ţ</w:t>
      </w:r>
      <w:r w:rsidRPr="00F5644D">
        <w:rPr>
          <w:lang w:val="ro-RO"/>
        </w:rPr>
        <w:t>ii nu poate exista încredere, iar aceasta este esen</w:t>
      </w:r>
      <w:r>
        <w:rPr>
          <w:lang w:val="ro-RO"/>
        </w:rPr>
        <w:t>ţ</w:t>
      </w:r>
      <w:r w:rsidRPr="00F5644D">
        <w:rPr>
          <w:lang w:val="ro-RO"/>
        </w:rPr>
        <w:t>ială pentru funcţionarea adecvată a procesului de administrarea a actelor de justiţie şi a statului de drept.</w:t>
      </w:r>
    </w:p>
    <w:p w:rsidR="006660B9" w:rsidRPr="00F5644D" w:rsidRDefault="006660B9" w:rsidP="003A16ED">
      <w:pPr>
        <w:pStyle w:val="Bodytext40"/>
        <w:shd w:val="clear" w:color="auto" w:fill="auto"/>
        <w:spacing w:before="240" w:line="276" w:lineRule="auto"/>
        <w:rPr>
          <w:lang w:val="ro-RO"/>
        </w:rPr>
      </w:pPr>
    </w:p>
    <w:p w:rsidR="006660B9" w:rsidRPr="00F5644D" w:rsidRDefault="006660B9">
      <w:pPr>
        <w:rPr>
          <w:rFonts w:ascii="Arial" w:eastAsia="Times New Roman" w:hAnsi="Arial" w:cs="Arial"/>
          <w:b/>
          <w:bCs/>
          <w:sz w:val="20"/>
          <w:szCs w:val="20"/>
          <w:lang w:val="ro-RO"/>
        </w:rPr>
      </w:pPr>
      <w:r w:rsidRPr="00F5644D">
        <w:rPr>
          <w:lang w:val="ro-RO"/>
        </w:rPr>
        <w:br w:type="page"/>
      </w:r>
    </w:p>
    <w:p w:rsidR="006660B9" w:rsidRPr="00F5644D" w:rsidRDefault="006660B9" w:rsidP="003A16ED">
      <w:pPr>
        <w:pStyle w:val="Heading10"/>
        <w:keepNext/>
        <w:keepLines/>
        <w:shd w:val="clear" w:color="auto" w:fill="auto"/>
        <w:spacing w:before="240" w:line="276" w:lineRule="auto"/>
        <w:rPr>
          <w:lang w:val="ro-RO"/>
        </w:rPr>
      </w:pPr>
      <w:bookmarkStart w:id="9" w:name="_Toc452658678"/>
      <w:r w:rsidRPr="00F5644D">
        <w:rPr>
          <w:lang w:val="ro-RO"/>
        </w:rPr>
        <w:t>PARTEA II: RECOMANDĂRI CCBE</w:t>
      </w:r>
      <w:bookmarkEnd w:id="9"/>
      <w:r w:rsidRPr="00F5644D">
        <w:rPr>
          <w:lang w:val="ro-RO"/>
        </w:rPr>
        <w:t xml:space="preserve"> </w:t>
      </w:r>
    </w:p>
    <w:p w:rsidR="006660B9" w:rsidRPr="00F5644D" w:rsidRDefault="006660B9" w:rsidP="003A16ED">
      <w:pPr>
        <w:pStyle w:val="Bodytext21"/>
        <w:shd w:val="clear" w:color="auto" w:fill="auto"/>
        <w:spacing w:before="240" w:line="276" w:lineRule="auto"/>
        <w:ind w:firstLine="0"/>
        <w:jc w:val="both"/>
        <w:rPr>
          <w:lang w:val="ro-RO"/>
        </w:rPr>
      </w:pPr>
      <w:r>
        <w:rPr>
          <w:lang w:val="ro-RO"/>
        </w:rPr>
        <w:t>Analiza precedentă a legislaţiei confirmă poziţia</w:t>
      </w:r>
      <w:r w:rsidRPr="00F5644D">
        <w:rPr>
          <w:lang w:val="ro-RO"/>
        </w:rPr>
        <w:t xml:space="preserve"> CCBE</w:t>
      </w:r>
      <w:r>
        <w:rPr>
          <w:lang w:val="ro-RO"/>
        </w:rPr>
        <w:t>, conform căreia datele şi comunicările protejate de privilegiul profesiei juridice şi secretul profesional sunt inviolabile</w:t>
      </w:r>
      <w:r w:rsidRPr="00F5644D">
        <w:rPr>
          <w:lang w:val="ro-RO"/>
        </w:rPr>
        <w:t xml:space="preserve"> </w:t>
      </w:r>
      <w:r>
        <w:rPr>
          <w:lang w:val="ro-RO"/>
        </w:rPr>
        <w:t>ş</w:t>
      </w:r>
      <w:r w:rsidRPr="002D53C3">
        <w:rPr>
          <w:lang w:val="ro-RO"/>
        </w:rPr>
        <w:t>i nu pot face obiectul interceptării sau supravegherii</w:t>
      </w:r>
      <w:r w:rsidRPr="00F5644D">
        <w:rPr>
          <w:lang w:val="ro-RO"/>
        </w:rPr>
        <w:t xml:space="preserve">. </w:t>
      </w:r>
      <w:r>
        <w:rPr>
          <w:lang w:val="ro-RO"/>
        </w:rPr>
        <w:t>Recomandările de mai jos vizează asigurarea respectării acestui principiu</w:t>
      </w:r>
      <w:r w:rsidRPr="00F5644D">
        <w:rPr>
          <w:lang w:val="ro-RO"/>
        </w:rPr>
        <w:t>.</w:t>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10" w:name="_Toc452658679"/>
      <w:r w:rsidRPr="00F5644D">
        <w:rPr>
          <w:lang w:val="ro-RO"/>
        </w:rPr>
        <w:t>Principiul general</w:t>
      </w:r>
      <w:bookmarkEnd w:id="10"/>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Orice act de supraveghere directă sau indirectă îndeplinit de către stat trebuie să se înscrie în limitele principiilor statului de drept şi, în special, orice act de supraveghere trebuie să respecte protec</w:t>
      </w:r>
      <w:r>
        <w:rPr>
          <w:lang w:val="ro-RO"/>
        </w:rPr>
        <w:t>ţ</w:t>
      </w:r>
      <w:r w:rsidRPr="00F5644D">
        <w:rPr>
          <w:lang w:val="ro-RO"/>
        </w:rPr>
        <w:t>ia acordată prin obliga</w:t>
      </w:r>
      <w:r>
        <w:rPr>
          <w:lang w:val="ro-RO"/>
        </w:rPr>
        <w:t>ţ</w:t>
      </w:r>
      <w:r w:rsidRPr="00F5644D">
        <w:rPr>
          <w:lang w:val="ro-RO"/>
        </w:rPr>
        <w:t xml:space="preserve">iile secretului profesional </w:t>
      </w:r>
      <w:r>
        <w:rPr>
          <w:lang w:val="ro-RO"/>
        </w:rPr>
        <w:t>ş</w:t>
      </w:r>
      <w:r w:rsidRPr="00F5644D">
        <w:rPr>
          <w:lang w:val="ro-RO"/>
        </w:rPr>
        <w:t xml:space="preserve">i privilegiul profesiei juridice. </w:t>
      </w:r>
      <w:r>
        <w:rPr>
          <w:lang w:val="ro-RO"/>
        </w:rPr>
        <w:t>În proceduri contencioase, această protecţie constituie o componentă esenţială</w:t>
      </w:r>
      <w:r w:rsidRPr="00F5644D">
        <w:rPr>
          <w:lang w:val="ro-RO"/>
        </w:rPr>
        <w:t xml:space="preserve"> </w:t>
      </w:r>
      <w:r>
        <w:rPr>
          <w:lang w:val="ro-RO"/>
        </w:rPr>
        <w:t xml:space="preserve">în </w:t>
      </w:r>
      <w:r w:rsidRPr="00F5644D">
        <w:rPr>
          <w:lang w:val="ro-RO"/>
        </w:rPr>
        <w:t xml:space="preserve">garantarea dreptului la un proces echitabil, </w:t>
      </w:r>
      <w:r>
        <w:rPr>
          <w:lang w:val="ro-RO"/>
        </w:rPr>
        <w:t>şi în toate cazurile este un principiu fundamental al statului de drept</w:t>
      </w:r>
      <w:r w:rsidRPr="00F5644D">
        <w:rPr>
          <w:lang w:val="ro-RO"/>
        </w:rPr>
        <w:t>.</w:t>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11" w:name="_Toc452658680"/>
      <w:r w:rsidRPr="00F5644D">
        <w:rPr>
          <w:lang w:val="ro-RO"/>
        </w:rPr>
        <w:t>Nevoia de control legislativ</w:t>
      </w:r>
      <w:bookmarkEnd w:id="11"/>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12" w:name="bookmark6"/>
      <w:bookmarkStart w:id="13" w:name="_Toc452047485"/>
      <w:bookmarkStart w:id="14" w:name="_Toc452658681"/>
      <w:r w:rsidRPr="00F5644D">
        <w:rPr>
          <w:lang w:val="ro-RO"/>
        </w:rPr>
        <w:t>Toate activităţile de supraveghere trebuie reglementate cu un grad adecvat de detaliere (de exemplu, “securitatea na</w:t>
      </w:r>
      <w:r>
        <w:rPr>
          <w:lang w:val="ro-RO"/>
        </w:rPr>
        <w:t>ţ</w:t>
      </w:r>
      <w:r w:rsidRPr="00F5644D">
        <w:rPr>
          <w:lang w:val="ro-RO"/>
        </w:rPr>
        <w:t>ională” trebuie definită în mod clar) şi de transparen</w:t>
      </w:r>
      <w:r>
        <w:rPr>
          <w:lang w:val="ro-RO"/>
        </w:rPr>
        <w:t>ţ</w:t>
      </w:r>
      <w:r w:rsidRPr="00F5644D">
        <w:rPr>
          <w:lang w:val="ro-RO"/>
        </w:rPr>
        <w:t>ă.</w:t>
      </w:r>
      <w:bookmarkEnd w:id="12"/>
      <w:bookmarkEnd w:id="13"/>
      <w:bookmarkEnd w:id="14"/>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Într-o societate democratică, nu se poate permite serviciilor de securitate să fie netransparente, să nu poată fi trase la răspundere şi să acţioneze în afara unui cadru legal adecvat şi obligatoriu. În lipsa unui astfel de control, există riscul unei desconsiderări arbitrare a drepturilor omului în general şi a secretului profesional sau a privilegiului profesiei juridice în special. Introducerea mandatului agenţiilor de supraveghere în legisla</w:t>
      </w:r>
      <w:r>
        <w:rPr>
          <w:lang w:val="ro-RO"/>
        </w:rPr>
        <w:t>ţ</w:t>
      </w:r>
      <w:r w:rsidRPr="00F5644D">
        <w:rPr>
          <w:lang w:val="ro-RO"/>
        </w:rPr>
        <w:t>ia primară constituie o cerinţă a CEDO</w:t>
      </w:r>
      <w:r w:rsidRPr="00F5644D">
        <w:rPr>
          <w:vertAlign w:val="superscript"/>
          <w:lang w:val="ro-RO"/>
        </w:rPr>
        <w:footnoteReference w:id="30"/>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anumite state în care există un cadru de reglementare, au fost prevăzute măsuri de protecţie semnificative (după caz) nu în legisla</w:t>
      </w:r>
      <w:r>
        <w:rPr>
          <w:lang w:val="ro-RO"/>
        </w:rPr>
        <w:t>ţ</w:t>
      </w:r>
      <w:r w:rsidRPr="00F5644D">
        <w:rPr>
          <w:lang w:val="ro-RO"/>
        </w:rPr>
        <w:t xml:space="preserve">ia primară, ci în anumite coduri de practică neobligatorii, în diverse ghiduri şi în alte documente similare (de exemplu, în Marea Britanie există Legea de Reglementare a Prerogativelor de Anchetă din anul 2000, însă arii importante privind reglementarea </w:t>
      </w:r>
      <w:r>
        <w:rPr>
          <w:lang w:val="ro-RO"/>
        </w:rPr>
        <w:t>ş</w:t>
      </w:r>
      <w:r w:rsidRPr="00F5644D">
        <w:rPr>
          <w:lang w:val="ro-RO"/>
        </w:rPr>
        <w:t xml:space="preserve">i controlul nu se regăsesc în lege, ci în coduri de practică ce nu au un caracter obligatoriu). Deşi aceste coduri şi ghiduri îşi pot avea importanţa lor, protecţia substanţială a secretului profesional </w:t>
      </w:r>
      <w:r>
        <w:rPr>
          <w:lang w:val="ro-RO"/>
        </w:rPr>
        <w:t>ş</w:t>
      </w:r>
      <w:r w:rsidRPr="00F5644D">
        <w:rPr>
          <w:lang w:val="ro-RO"/>
        </w:rPr>
        <w:t>i a privilegiului profesiei juridice trebuie să fie prevăzută în legisla</w:t>
      </w:r>
      <w:r>
        <w:rPr>
          <w:lang w:val="ro-RO"/>
        </w:rPr>
        <w:t>ţ</w:t>
      </w:r>
      <w:r w:rsidRPr="00F5644D">
        <w:rPr>
          <w:lang w:val="ro-RO"/>
        </w:rPr>
        <w:t>ia primară, iar serviciile de informaţii trebuie să fie răspunzătoare în faţa instanţelor pentru modul în care îşi îndeplinesc atribu</w:t>
      </w:r>
      <w:r>
        <w:rPr>
          <w:lang w:val="ro-RO"/>
        </w:rPr>
        <w:t>ţ</w:t>
      </w:r>
      <w:r w:rsidRPr="00F5644D">
        <w:rPr>
          <w:lang w:val="ro-RO"/>
        </w:rPr>
        <w:t>iile.</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 xml:space="preserve">Legislaţia care reglementează activităţile de supraveghere trebuie să prevadă măsuri explicite de protecţie a secretului profesional </w:t>
      </w:r>
      <w:r>
        <w:rPr>
          <w:lang w:val="ro-RO"/>
        </w:rPr>
        <w:t>ş</w:t>
      </w:r>
      <w:r w:rsidRPr="00F5644D">
        <w:rPr>
          <w:lang w:val="ro-RO"/>
        </w:rPr>
        <w:t>i a privilegiului profesiei juridice şi să scoată din sfera de competenţă a serviciilor de informaţii vizarea deliberată a comunicărilor dintre client şi avocat.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Prin urmare, nivelul de protecţie al secretului profesional permis de către lege trebuie întotdeauna să se situeze la cele mai înalte cote, indiferent dacă măsurile de siguranţă sunt luate pentru aplicarea legii (de exemplu, de poliţie şi parchet) sau pentru protejarea siguranţei naţionale (adică de către serviciile de informaţii). Natura intruzivă şi impactul potenţial al ambelor activităţi asupra dreptului persoanelor la un proces echitabil sunt identice şi, prin urmare, necesită un nivel înalt şi echivalent de protec</w:t>
      </w:r>
      <w:r>
        <w:rPr>
          <w:lang w:val="ro-RO"/>
        </w:rPr>
        <w:t>ţ</w:t>
      </w:r>
      <w:r w:rsidRPr="00F5644D">
        <w:rPr>
          <w:lang w:val="ro-RO"/>
        </w:rPr>
        <w:t>ie juridică.</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O situaţie care trebuie considerată a fi un avertisment o constituie cauza </w:t>
      </w:r>
      <w:r w:rsidRPr="00F5644D">
        <w:rPr>
          <w:rStyle w:val="Bodytext2Italic"/>
          <w:rFonts w:eastAsia="Arial Unicode MS"/>
          <w:lang w:val="ro-RO"/>
        </w:rPr>
        <w:t>Re McE</w:t>
      </w:r>
      <w:r w:rsidRPr="00F5644D">
        <w:rPr>
          <w:rStyle w:val="Bodytext2Italic"/>
          <w:rFonts w:eastAsia="Arial Unicode MS"/>
          <w:vertAlign w:val="superscript"/>
          <w:lang w:val="ro-RO"/>
        </w:rPr>
        <w:footnoteReference w:id="31"/>
      </w:r>
      <w:r w:rsidRPr="00F5644D">
        <w:rPr>
          <w:rStyle w:val="Bodytext2Italic"/>
          <w:rFonts w:eastAsia="Arial Unicode MS"/>
          <w:lang w:val="ro-RO"/>
        </w:rPr>
        <w:t xml:space="preserve"> </w:t>
      </w:r>
      <w:r w:rsidRPr="00F5644D">
        <w:rPr>
          <w:rStyle w:val="Bodytext2Italic"/>
          <w:rFonts w:eastAsia="Arial Unicode MS"/>
          <w:i w:val="0"/>
          <w:lang w:val="ro-RO"/>
        </w:rPr>
        <w:t>din Marea Britanie</w:t>
      </w:r>
      <w:r w:rsidRPr="00F5644D">
        <w:rPr>
          <w:rStyle w:val="Bodytext2Italic"/>
          <w:rFonts w:eastAsia="Arial Unicode MS"/>
          <w:lang w:val="ro-RO"/>
        </w:rPr>
        <w:t>.</w:t>
      </w:r>
      <w:r w:rsidRPr="00F5644D">
        <w:rPr>
          <w:lang w:val="ro-RO"/>
        </w:rPr>
        <w:t xml:space="preserve"> În acea cauză, Camera Lorzilor a interpretat absenţa unei protecţii specifice a privilegiului profesiei juridice ca permiţând în mod implicit interceptarea unor materiale privilegiate, cu rezultatul că (printr-o interpretare statutară) s-a considerat că Parlamentul a decis să nesocotească principiul privilegiului profesional. Decizia a fost amplu criticată, dar trebuie remarcat aici că textul noului act legislativ propus care a fost dezbătut în parlament repetă, în acest sens, formulările legii din anul 2000 cu intenţia de a lipsi de protecţie tocmai elementele avute în vedere de privilegiul profesiei juridice.</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Legislaţia trebuie să furnizeze suficiente garanţii în situaţia externalizării totale sau parţiale a activităţilor de supraveghere către persoane private, pentru a se asigura că guvernul deţine întotdeauna controlul deplin, fiind integral responsabil pentru întregul proces de supraveghere, precum şi pentru datele obţinute prin supraveghere şi pentru modul în care sunt valorificate acestea.</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Externalizarea activităţilor de supraveghere către persoane private poate deturna responsabilitatea forţelor de poliţiei sau a parchetului sau a serviciilor na</w:t>
      </w:r>
      <w:r>
        <w:rPr>
          <w:lang w:val="ro-RO"/>
        </w:rPr>
        <w:t>ţ</w:t>
      </w:r>
      <w:r w:rsidRPr="00F5644D">
        <w:rPr>
          <w:lang w:val="ro-RO"/>
        </w:rPr>
        <w:t>ionale de securitate, reorientând această responsabilitate spre firme mici care nu pot fi ţinute responsabile pentru încălcări ale unor prevederi constituţionale. Prin urmare, persoanele private care sunt implicate în procesul de supraveghere trebuie să se supună şi ele unor reguli deontologice şi cerinţe de confidenţialitate stricte şi să fie legate şi de obliga</w:t>
      </w:r>
      <w:r>
        <w:rPr>
          <w:lang w:val="ro-RO"/>
        </w:rPr>
        <w:t>ţ</w:t>
      </w:r>
      <w:r w:rsidRPr="00F5644D">
        <w:rPr>
          <w:lang w:val="ro-RO"/>
        </w:rPr>
        <w:t>ia contractuală de a furniza acces în mod transparent şi integral organelor guvernamentale la aranjamentele şi procedurilor tehnice şi organizaţionale pe care le utilizează în cadrul activităţilor de supraveghere. Organele statului trebuie să deţină suficientă experienţă şi resurse pentru a putea continua să deţină controlul deplin asupra activităţilor de supraveghere care sunt externalizate persoanelor private.</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Prevederile legislative nu trebuie să împiedice avocaţii de la proteja în mod adecvat confidenţialitate</w:t>
      </w:r>
      <w:r>
        <w:rPr>
          <w:lang w:val="ro-RO"/>
        </w:rPr>
        <w:t>a</w:t>
      </w:r>
      <w:r w:rsidRPr="00F5644D">
        <w:rPr>
          <w:lang w:val="ro-RO"/>
        </w:rPr>
        <w:t xml:space="preserve"> actelor de comunicare cu clienţii lor (bunăoară, prin metode de criptare) şi trebuie să ofere organelor statului sau organelor de aplicare a legii acces la date criptate.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Avocaţii deţin informa</w:t>
      </w:r>
      <w:r>
        <w:rPr>
          <w:lang w:val="ro-RO"/>
        </w:rPr>
        <w:t>ţ</w:t>
      </w:r>
      <w:r w:rsidRPr="00F5644D">
        <w:rPr>
          <w:lang w:val="ro-RO"/>
        </w:rPr>
        <w:t xml:space="preserve">ii sensibile (începând de la secrete de afaceri şi până la detalii privind viaţa privată a unor persoane) care le sunt încredinţate de către clienţi cu o investiţie de încredere şi care nu pot fi divulgate. Această situaţie face ca avocaţii să fie foarte vulnerabili în faţa unor atacuri </w:t>
      </w:r>
      <w:r>
        <w:rPr>
          <w:lang w:val="ro-RO"/>
        </w:rPr>
        <w:t>i</w:t>
      </w:r>
      <w:r w:rsidRPr="00F5644D">
        <w:rPr>
          <w:lang w:val="ro-RO"/>
        </w:rPr>
        <w:t>legale exercitate de către unele organe guvernamentale sau de către hackeri şi necesită protecţie prin criptarea informaţiilor. Dreptul la protecţia datelor implică şi securitatea datelor, care sunt protejate în baza articolului 8 al ECHR, articolului 8 al Cartei Drepturilor Fundamentale ale Omului în UE</w:t>
      </w:r>
      <w:r w:rsidRPr="00F5644D">
        <w:rPr>
          <w:vertAlign w:val="superscript"/>
          <w:lang w:val="ro-RO"/>
        </w:rPr>
        <w:t xml:space="preserve"> </w:t>
      </w:r>
      <w:r w:rsidRPr="00F5644D">
        <w:rPr>
          <w:vertAlign w:val="superscript"/>
          <w:lang w:val="ro-RO"/>
        </w:rPr>
        <w:footnoteReference w:id="32"/>
      </w:r>
      <w:r w:rsidRPr="00F5644D">
        <w:rPr>
          <w:lang w:val="ro-RO"/>
        </w:rPr>
        <w:t xml:space="preserve">, precum şi de către </w:t>
      </w:r>
      <w:r w:rsidRPr="00F5644D">
        <w:rPr>
          <w:rStyle w:val="Bodytext20"/>
          <w:rFonts w:eastAsia="Arial Unicode MS"/>
          <w:lang w:val="ro-RO"/>
        </w:rPr>
        <w:t>Conven</w:t>
      </w:r>
      <w:r>
        <w:rPr>
          <w:rStyle w:val="Bodytext20"/>
          <w:rFonts w:eastAsia="Arial Unicode MS"/>
          <w:lang w:val="ro-RO"/>
        </w:rPr>
        <w:t>ţ</w:t>
      </w:r>
      <w:r w:rsidRPr="00F5644D">
        <w:rPr>
          <w:rStyle w:val="Bodytext20"/>
          <w:rFonts w:eastAsia="Arial Unicode MS"/>
          <w:lang w:val="ro-RO"/>
        </w:rPr>
        <w:t>ia Consiliului Europei din 1981 pentru protec</w:t>
      </w:r>
      <w:r>
        <w:rPr>
          <w:rStyle w:val="Bodytext20"/>
          <w:rFonts w:eastAsia="Arial Unicode MS"/>
          <w:lang w:val="ro-RO"/>
        </w:rPr>
        <w:t>ţ</w:t>
      </w:r>
      <w:r w:rsidRPr="00F5644D">
        <w:rPr>
          <w:rStyle w:val="Bodytext20"/>
          <w:rFonts w:eastAsia="Arial Unicode MS"/>
          <w:lang w:val="ro-RO"/>
        </w:rPr>
        <w:t>ia persoanelor cu privire la prelucrarea automată a datelor cu caracter personal</w:t>
      </w:r>
      <w:hyperlink r:id="rId13" w:history="1">
        <w:r w:rsidRPr="00F5644D">
          <w:rPr>
            <w:lang w:val="ro-RO"/>
          </w:rPr>
          <w:t xml:space="preserve">, </w:t>
        </w:r>
      </w:hyperlink>
      <w:r>
        <w:rPr>
          <w:lang w:val="ro-RO"/>
        </w:rPr>
        <w:t>ş</w:t>
      </w:r>
      <w:r w:rsidRPr="00F5644D">
        <w:rPr>
          <w:lang w:val="ro-RO"/>
        </w:rPr>
        <w:t xml:space="preserve">i </w:t>
      </w:r>
      <w:r w:rsidRPr="00F5644D">
        <w:rPr>
          <w:rStyle w:val="Bodytext20"/>
          <w:rFonts w:eastAsia="Arial Unicode MS"/>
          <w:lang w:val="ro-RO"/>
        </w:rPr>
        <w:t>Decizia-cadru privind protec</w:t>
      </w:r>
      <w:r>
        <w:rPr>
          <w:rStyle w:val="Bodytext20"/>
          <w:rFonts w:eastAsia="Arial Unicode MS"/>
          <w:lang w:val="ro-RO"/>
        </w:rPr>
        <w:t>ţ</w:t>
      </w:r>
      <w:r w:rsidRPr="00F5644D">
        <w:rPr>
          <w:rStyle w:val="Bodytext20"/>
          <w:rFonts w:eastAsia="Arial Unicode MS"/>
          <w:lang w:val="ro-RO"/>
        </w:rPr>
        <w:t xml:space="preserve">ia datelor din 2008. </w:t>
      </w:r>
      <w:r w:rsidRPr="00F5644D">
        <w:rPr>
          <w:lang w:val="ro-RO"/>
        </w:rPr>
        <w:t xml:space="preserve"> Cu toate acestea, lipsa securităţii datelor poate afecta un spectru al drepturilor încă şi mai amplu, cum ar fi diverse drepturi de natură economică, dreptul la </w:t>
      </w:r>
      <w:r>
        <w:rPr>
          <w:lang w:val="ro-RO"/>
        </w:rPr>
        <w:t>viaţă privată</w:t>
      </w:r>
      <w:r w:rsidRPr="00F5644D">
        <w:rPr>
          <w:lang w:val="ro-RO"/>
        </w:rPr>
        <w:t xml:space="preserve"> şi dreptul la un proces echitabil</w:t>
      </w:r>
      <w:r w:rsidRPr="00F5644D">
        <w:rPr>
          <w:vertAlign w:val="superscript"/>
          <w:lang w:val="ro-RO"/>
        </w:rPr>
        <w:footnoteReference w:id="33"/>
      </w:r>
      <w:r w:rsidRPr="00F5644D">
        <w:rPr>
          <w:lang w:val="ro-RO"/>
        </w:rPr>
        <w:t>. Prin urmare, decriptarea poate fi permisă numai dacă este definită în mod legal şi dacă orice decizie care permite decriptarea comunicărilor dintre avocat şi client trebuie luată de către un judecător independent, de la caz la caz, şi în urma unui proces echitabil.</w:t>
      </w:r>
      <w:r w:rsidRPr="00F5644D">
        <w:rPr>
          <w:vertAlign w:val="superscript"/>
          <w:lang w:val="ro-RO"/>
        </w:rPr>
        <w:footnoteReference w:id="34"/>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15" w:name="_Toc452658682"/>
      <w:r w:rsidRPr="00F5644D">
        <w:rPr>
          <w:lang w:val="ro-RO"/>
        </w:rPr>
        <w:t>Amploarea admisă a interceptărilor</w:t>
      </w:r>
      <w:bookmarkEnd w:id="15"/>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16" w:name="bookmark8"/>
      <w:bookmarkStart w:id="17" w:name="_Toc452047487"/>
      <w:bookmarkStart w:id="18" w:name="_Toc452658683"/>
      <w:r w:rsidRPr="00F5644D">
        <w:rPr>
          <w:lang w:val="ro-RO"/>
        </w:rPr>
        <w:t>Numai comunicările care nu se încadrează în categoria secretului profesional sau a privilegiului profesiei juridice pot fi interceptate.</w:t>
      </w:r>
      <w:bookmarkEnd w:id="16"/>
      <w:bookmarkEnd w:id="17"/>
      <w:bookmarkEnd w:id="18"/>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După cum s-a discutat şi mai sus, prima întrebare care trebuie adresată când se solicită interceptarea comunicărilor protejate de privilegiul profesiei juridice sau de secretul profesional este dacă aceste comunicări se încadrează în sfera acestor măsuri de protec</w:t>
      </w:r>
      <w:r>
        <w:rPr>
          <w:lang w:val="ro-RO"/>
        </w:rPr>
        <w:t>ţ</w:t>
      </w:r>
      <w:r w:rsidRPr="00F5644D">
        <w:rPr>
          <w:lang w:val="ro-RO"/>
        </w:rPr>
        <w:t xml:space="preserve">ie. În cazul în care acestea se încadrează în această sferă, </w:t>
      </w:r>
      <w:r>
        <w:rPr>
          <w:lang w:val="ro-RO"/>
        </w:rPr>
        <w:t>atunci următoarea întrebare este dacă intră sub incidenţa</w:t>
      </w:r>
      <w:r w:rsidRPr="00F5644D">
        <w:rPr>
          <w:lang w:val="ro-RO"/>
        </w:rPr>
        <w:t xml:space="preserve"> </w:t>
      </w:r>
      <w:r>
        <w:rPr>
          <w:lang w:val="ro-RO"/>
        </w:rPr>
        <w:t xml:space="preserve">articolului </w:t>
      </w:r>
      <w:r w:rsidRPr="00F5644D">
        <w:rPr>
          <w:lang w:val="ro-RO"/>
        </w:rPr>
        <w:t xml:space="preserve">6 </w:t>
      </w:r>
      <w:r>
        <w:rPr>
          <w:lang w:val="ro-RO"/>
        </w:rPr>
        <w:t xml:space="preserve">din </w:t>
      </w:r>
      <w:r w:rsidRPr="00F5644D">
        <w:rPr>
          <w:lang w:val="ro-RO"/>
        </w:rPr>
        <w:t xml:space="preserve">ECHR. </w:t>
      </w:r>
      <w:r>
        <w:rPr>
          <w:lang w:val="ro-RO"/>
        </w:rPr>
        <w:t>Dacă intră sub incidenţa</w:t>
      </w:r>
      <w:r w:rsidRPr="00F5644D">
        <w:rPr>
          <w:lang w:val="ro-RO"/>
        </w:rPr>
        <w:t xml:space="preserve"> </w:t>
      </w:r>
      <w:r>
        <w:rPr>
          <w:lang w:val="ro-RO"/>
        </w:rPr>
        <w:t xml:space="preserve">articolului </w:t>
      </w:r>
      <w:r w:rsidRPr="00F5644D">
        <w:rPr>
          <w:lang w:val="ro-RO"/>
        </w:rPr>
        <w:t xml:space="preserve">6, </w:t>
      </w:r>
      <w:r>
        <w:rPr>
          <w:lang w:val="ro-RO"/>
        </w:rPr>
        <w:t>atunci</w:t>
      </w:r>
      <w:r w:rsidRPr="00F5644D">
        <w:rPr>
          <w:lang w:val="ro-RO"/>
        </w:rPr>
        <w:t xml:space="preserve">, în conformitate cu articolul 6 al ECHR, nu se mai pune problema permisiunii interceptărilor. </w:t>
      </w:r>
      <w:r>
        <w:rPr>
          <w:lang w:val="ro-RO"/>
        </w:rPr>
        <w:t>Dacă nu intră sub incidenţa</w:t>
      </w:r>
      <w:r w:rsidRPr="00F5644D">
        <w:rPr>
          <w:lang w:val="ro-RO"/>
        </w:rPr>
        <w:t xml:space="preserve"> </w:t>
      </w:r>
      <w:r>
        <w:rPr>
          <w:lang w:val="ro-RO"/>
        </w:rPr>
        <w:t xml:space="preserve">articolului </w:t>
      </w:r>
      <w:r w:rsidRPr="00F5644D">
        <w:rPr>
          <w:lang w:val="ro-RO"/>
        </w:rPr>
        <w:t xml:space="preserve">6, </w:t>
      </w:r>
      <w:r>
        <w:rPr>
          <w:lang w:val="ro-RO"/>
        </w:rPr>
        <w:t>atunci ar fi necesară analizarea acestui aspect prin prisma articolului</w:t>
      </w:r>
      <w:r w:rsidRPr="00F5644D">
        <w:rPr>
          <w:lang w:val="ro-RO"/>
        </w:rPr>
        <w:t xml:space="preserve"> 8, </w:t>
      </w:r>
      <w:r>
        <w:rPr>
          <w:lang w:val="ro-RO"/>
        </w:rPr>
        <w:t>unde s-ar bucura de protecţia sporită</w:t>
      </w:r>
      <w:r w:rsidRPr="00F5644D">
        <w:rPr>
          <w:lang w:val="ro-RO"/>
        </w:rPr>
        <w:t xml:space="preserve"> </w:t>
      </w:r>
      <w:r>
        <w:rPr>
          <w:lang w:val="ro-RO"/>
        </w:rPr>
        <w:t>acordată comunicărilor avocat-client</w:t>
      </w:r>
      <w:r w:rsidRPr="00F5644D">
        <w:rPr>
          <w:lang w:val="ro-RO"/>
        </w:rPr>
        <w:t xml:space="preserve">. </w:t>
      </w:r>
      <w:r>
        <w:rPr>
          <w:lang w:val="ro-RO"/>
        </w:rPr>
        <w:t>Aplicarea protecţiei sporite ar trebui să conducă la acelaşi rezultat ca şi aplicarea articolului</w:t>
      </w:r>
      <w:r w:rsidRPr="00F5644D">
        <w:rPr>
          <w:lang w:val="ro-RO"/>
        </w:rPr>
        <w:t xml:space="preserve"> 6.</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Organelor de stat sau autorită</w:t>
      </w:r>
      <w:r>
        <w:rPr>
          <w:lang w:val="ro-RO"/>
        </w:rPr>
        <w:t>ţ</w:t>
      </w:r>
      <w:r w:rsidRPr="00F5644D">
        <w:rPr>
          <w:lang w:val="ro-RO"/>
        </w:rPr>
        <w:t xml:space="preserve">ilor însărcinate cu aplicarea legii ar trebui să li se solicite să utilizeze toate mijloacele tehnice disponibile pentru ca materialele protejate de principiul secretului profesional </w:t>
      </w:r>
      <w:r>
        <w:rPr>
          <w:lang w:val="ro-RO"/>
        </w:rPr>
        <w:t>ş</w:t>
      </w:r>
      <w:r w:rsidRPr="00F5644D">
        <w:rPr>
          <w:lang w:val="ro-RO"/>
        </w:rPr>
        <w:t>i de privilegiul profesiei juridice să nu intre în sfera de interes a operaţiunilor de supraveghere.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Se apreciază că uneori nu se poate face o distincţie între supravegherea direcţionată şi cea nedirecţionată şi, în special în cazul ultim, poate exista şi pericolul unor interceptări accidentale ale comunicărilor care se supun principiului secretului profesional sau al privilegiului profesiei juridice. De exemplu, în Olanda există un sistem de recunoa</w:t>
      </w:r>
      <w:r>
        <w:rPr>
          <w:lang w:val="ro-RO"/>
        </w:rPr>
        <w:t>ş</w:t>
      </w:r>
      <w:r w:rsidRPr="00F5644D">
        <w:rPr>
          <w:lang w:val="ro-RO"/>
        </w:rPr>
        <w:t>tere a numerelor de telefon care poate recunoa</w:t>
      </w:r>
      <w:r>
        <w:rPr>
          <w:lang w:val="ro-RO"/>
        </w:rPr>
        <w:t>ş</w:t>
      </w:r>
      <w:r w:rsidRPr="00F5644D">
        <w:rPr>
          <w:lang w:val="ro-RO"/>
        </w:rPr>
        <w:t xml:space="preserve">te numerele de telefon ale avocaţilor, întrerupând mijloacele de supraveghere. O parte din discuţiile avute pe marginea speţei </w:t>
      </w:r>
      <w:r w:rsidRPr="00F5644D">
        <w:rPr>
          <w:rStyle w:val="Bodytext2Italic"/>
          <w:rFonts w:eastAsia="Arial Unicode MS"/>
          <w:lang w:val="ro-RO"/>
        </w:rPr>
        <w:t>Prakken d'Oliveira</w:t>
      </w:r>
      <w:r w:rsidRPr="00F5644D">
        <w:rPr>
          <w:rStyle w:val="Bodytext2Italic"/>
          <w:rFonts w:eastAsia="Arial Unicode MS"/>
          <w:vertAlign w:val="superscript"/>
          <w:lang w:val="ro-RO"/>
        </w:rPr>
        <w:footnoteReference w:id="35"/>
      </w:r>
      <w:r w:rsidRPr="00F5644D">
        <w:rPr>
          <w:lang w:val="ro-RO"/>
        </w:rPr>
        <w:t xml:space="preserve"> s-a referit la măsura în care acest sistem poate fi utilizat de către serviciile de securitate.</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Interceptările trebuie permise numai atunci când organismul care doreşte să realizeze interceptarea poate demonstra că există motive credibile care generează un nivel de suspiciune suficient pentru a justifica o astfel de interceptare.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Procesul de interceptare nu trebuie utilizat ca mijloc de obţinere de materiale pe care se poate întemeia suspiciunea. Intervenţia nu trebuie direcţionată asupra materialelor protejate de obligaţia de </w:t>
      </w:r>
      <w:r>
        <w:rPr>
          <w:lang w:val="ro-RO"/>
        </w:rPr>
        <w:t>respectării</w:t>
      </w:r>
      <w:r w:rsidRPr="00F5644D">
        <w:rPr>
          <w:lang w:val="ro-RO"/>
        </w:rPr>
        <w:t xml:space="preserve"> secretul</w:t>
      </w:r>
      <w:r>
        <w:rPr>
          <w:lang w:val="ro-RO"/>
        </w:rPr>
        <w:t>ui</w:t>
      </w:r>
      <w:r w:rsidRPr="00F5644D">
        <w:rPr>
          <w:lang w:val="ro-RO"/>
        </w:rPr>
        <w:t xml:space="preserve"> profesional sau de privilegiul profesiei juridice. Prin urmare, un mandat de interceptare nu trebuie acordat pentru interceptarea comunicărilor cu un avocat decât dacă există probe indiscutabile că materialul respectiv nu va fi protejat de secretul profesional sau de privilegiul profesiei juridice.</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 xml:space="preserve">Trebuie să există controale legislative pentru a reglementa procesul de examinare a materialelor potenţial protejate de principiul secretului profesional sau </w:t>
      </w:r>
      <w:r>
        <w:rPr>
          <w:lang w:val="ro-RO"/>
        </w:rPr>
        <w:t>al</w:t>
      </w:r>
      <w:r w:rsidRPr="00F5644D">
        <w:rPr>
          <w:lang w:val="ro-RO"/>
        </w:rPr>
        <w:t xml:space="preserve"> privilegiul</w:t>
      </w:r>
      <w:r>
        <w:rPr>
          <w:lang w:val="ro-RO"/>
        </w:rPr>
        <w:t>ui</w:t>
      </w:r>
      <w:r w:rsidRPr="00F5644D">
        <w:rPr>
          <w:lang w:val="ro-RO"/>
        </w:rPr>
        <w:t xml:space="preserve"> profesiei juridice pentru a elimina riscul de utilizare ulterioară a acestora.</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ciuda garan</w:t>
      </w:r>
      <w:r>
        <w:rPr>
          <w:lang w:val="ro-RO"/>
        </w:rPr>
        <w:t>ţ</w:t>
      </w:r>
      <w:r w:rsidRPr="00F5644D">
        <w:rPr>
          <w:lang w:val="ro-RO"/>
        </w:rPr>
        <w:t>iilor men</w:t>
      </w:r>
      <w:r>
        <w:rPr>
          <w:lang w:val="ro-RO"/>
        </w:rPr>
        <w:t>ţ</w:t>
      </w:r>
      <w:r w:rsidRPr="00F5644D">
        <w:rPr>
          <w:lang w:val="ro-RO"/>
        </w:rPr>
        <w:t>ionate mai sus, încă poate exista riscul ca actele de comunicare protejate prin privilegiul profesiei juridice sau secretul profesional să fie interceptate în mod accidental. Prin urmare, serviciile de informaţii trebuie să fie transparente în ceea ce priveşte informa</w:t>
      </w:r>
      <w:r>
        <w:rPr>
          <w:lang w:val="ro-RO"/>
        </w:rPr>
        <w:t>ţ</w:t>
      </w:r>
      <w:r w:rsidRPr="00F5644D">
        <w:rPr>
          <w:lang w:val="ro-RO"/>
        </w:rPr>
        <w:t>iile colectate, inclusiv modul şi măsura în care pot fi interceptate accidental comunicări poten</w:t>
      </w:r>
      <w:r>
        <w:rPr>
          <w:lang w:val="ro-RO"/>
        </w:rPr>
        <w:t>ţ</w:t>
      </w:r>
      <w:r w:rsidRPr="00F5644D">
        <w:rPr>
          <w:lang w:val="ro-RO"/>
        </w:rPr>
        <w:t>ial protejate prin privilegiul profesiei juridice sau secretul profesional, care sunt riscurile ca interceptarea unor astfel de comunicări supuse privilegiului profesiei juridice sau secretului profesional să se producă, ce măsuri de siguranţă există pentru a împiedica producerea acestui fenomen şi, în cazul în care se produce în mod accidental, ce măsuri trebuie luate pentru a preveni valorificarea interceptărilor.</w:t>
      </w:r>
    </w:p>
    <w:p w:rsidR="006660B9" w:rsidRPr="00F5644D" w:rsidRDefault="006660B9" w:rsidP="003A16ED">
      <w:pPr>
        <w:pStyle w:val="Bodytext21"/>
        <w:shd w:val="clear" w:color="auto" w:fill="auto"/>
        <w:spacing w:before="240" w:line="276" w:lineRule="auto"/>
        <w:ind w:firstLine="0"/>
        <w:jc w:val="both"/>
        <w:rPr>
          <w:lang w:val="ro-RO"/>
        </w:rPr>
      </w:pPr>
      <w:r>
        <w:rPr>
          <w:lang w:val="ro-RO"/>
        </w:rPr>
        <w:t>Orice interceptare accidentală a comunicărilor care fac obiectul</w:t>
      </w:r>
      <w:r w:rsidRPr="00F5644D">
        <w:rPr>
          <w:lang w:val="ro-RO"/>
        </w:rPr>
        <w:t xml:space="preserve"> privilegiului profesiei juridice sau secretului profesional </w:t>
      </w:r>
      <w:r>
        <w:rPr>
          <w:lang w:val="ro-RO"/>
        </w:rPr>
        <w:t>trebuie comunicată avocatului cât mai curând posibil după ce organismul care pune în aplicare măsura de supraveghere ia cunoştinţă de aceasta</w:t>
      </w:r>
      <w:r w:rsidRPr="00F5644D">
        <w:rPr>
          <w:lang w:val="ro-RO"/>
        </w:rPr>
        <w:t>.</w:t>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19" w:name="_Toc452658684"/>
      <w:r w:rsidRPr="00F5644D">
        <w:rPr>
          <w:lang w:val="ro-RO"/>
        </w:rPr>
        <w:t>Supraveghere judiciară şi independentă</w:t>
      </w:r>
      <w:bookmarkEnd w:id="19"/>
    </w:p>
    <w:p w:rsidR="006660B9" w:rsidRPr="00F5644D" w:rsidRDefault="006660B9" w:rsidP="003A16ED">
      <w:pPr>
        <w:pStyle w:val="Bodytext61"/>
        <w:shd w:val="clear" w:color="auto" w:fill="auto"/>
        <w:spacing w:before="240" w:line="276" w:lineRule="auto"/>
        <w:rPr>
          <w:lang w:val="ro-RO"/>
        </w:rPr>
      </w:pPr>
      <w:r w:rsidRPr="00F5644D">
        <w:rPr>
          <w:lang w:val="ro-RO"/>
        </w:rPr>
        <w:t xml:space="preserve">Natura supravegherii </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În cazul emiterii unui mandat de interceptare a comunicărilor clienţilor cu avocaţii, trebuie să există un proces de supraveghere în toate etapele procedurii de supraveghere, organizat de la caz la caz.</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Într-o societate democratică, supravegherea externă este indispensabilă, pentru că serviciile de control exercitate la nivel intern sau de către instituţiile guvernamentale (prin autorizare din partea unui minister) sunt insuficiente</w:t>
      </w:r>
      <w:r w:rsidRPr="00F5644D">
        <w:rPr>
          <w:vertAlign w:val="superscript"/>
          <w:lang w:val="ro-RO"/>
        </w:rPr>
        <w:footnoteReference w:id="36"/>
      </w:r>
      <w:r w:rsidRPr="00F5644D">
        <w:rPr>
          <w:lang w:val="ro-RO"/>
        </w:rPr>
        <w:t>. Acest aspect este în special valabil având în vedere că, după cum se arăta de către CEDO în anul 1978</w:t>
      </w:r>
      <w:r w:rsidRPr="00F5644D">
        <w:rPr>
          <w:vertAlign w:val="superscript"/>
          <w:lang w:val="ro-RO"/>
        </w:rPr>
        <w:footnoteReference w:id="37"/>
      </w:r>
      <w:r w:rsidRPr="00F5644D">
        <w:rPr>
          <w:lang w:val="ro-RO"/>
        </w:rPr>
        <w:t>, activităţile de supraveghere sunt în mod necesare desfăşurate fără ştirea persoanei vizate. Drept consecinţă, persoana împotriva căreia se îndreaptă măsura de supraveghere va fi împiedicată să caute un remediu eficient sau să atace cumva activitatea respectivă. Este esenţial ca înseşi procedurile stabilite să garanteze în mod eficient drepturile individuale ale persoanelor.</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20" w:name="bookmark10"/>
      <w:bookmarkStart w:id="21" w:name="_Toc452047489"/>
      <w:bookmarkStart w:id="22" w:name="_Toc452658685"/>
      <w:r w:rsidRPr="00F5644D">
        <w:rPr>
          <w:lang w:val="ro-RO"/>
        </w:rPr>
        <w:t>Controlul de supervizare trebuie încredinţat unui organ judiciar.</w:t>
      </w:r>
      <w:bookmarkEnd w:id="20"/>
      <w:bookmarkEnd w:id="21"/>
      <w:bookmarkEnd w:id="22"/>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Supravegherea judiciară constituie o măsură de siguranţă importantă împotriva caracterului arbitrar: numai un judecător poate oferi garanţiile necesare de independenţă, imparţialitate şi de executare a unei proceduri adecvate. Într-adevăr, CEDO a considerat în 1978</w:t>
      </w:r>
      <w:r w:rsidRPr="00F5644D">
        <w:rPr>
          <w:vertAlign w:val="superscript"/>
          <w:lang w:val="ro-RO"/>
        </w:rPr>
        <w:footnoteReference w:id="38"/>
      </w:r>
      <w:r w:rsidRPr="00F5644D">
        <w:rPr>
          <w:lang w:val="ro-RO"/>
        </w:rPr>
        <w:t xml:space="preserve"> că, într-un domeniu în care abuzul se manifestă potenţial atât de uşor în situaţii individuale şi ar putea avea consecinţa dăunătoare asupra societăţii democratice în integralitatea ei, în principiu este de dorit încredinţarea controlului de supervizare unui judecător. Curtea a corelat această idee cu principiul statului de drept. Mai mult decât atât, este important să se dea garanţii adecvate pentru separarea puterilor în stat şi astfel să nu i se încredinţeze unui organ administrativ sau parlamentului un astfel de rol cvasijudiciar</w:t>
      </w:r>
      <w:r w:rsidRPr="00F5644D">
        <w:rPr>
          <w:vertAlign w:val="superscript"/>
          <w:lang w:val="ro-RO"/>
        </w:rPr>
        <w:footnoteReference w:id="39"/>
      </w:r>
      <w:r w:rsidRPr="00F5644D">
        <w:rPr>
          <w:lang w:val="ro-RO"/>
        </w:rPr>
        <w:t>.</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Judecătorul care supervizează activităţile de supraveghere trebuie să fie independent de puterea executivă atât din punct de vedere financiar, cât şi politic, şi trebuie să inamovibil</w:t>
      </w:r>
      <w:r w:rsidRPr="00F5644D">
        <w:rPr>
          <w:vertAlign w:val="superscript"/>
          <w:lang w:val="ro-RO"/>
        </w:rPr>
        <w:t xml:space="preserve"> </w:t>
      </w:r>
      <w:r w:rsidRPr="00F5644D">
        <w:rPr>
          <w:vertAlign w:val="superscript"/>
          <w:lang w:val="ro-RO"/>
        </w:rPr>
        <w:footnoteReference w:id="40"/>
      </w:r>
      <w:r w:rsidRPr="00F5644D">
        <w:rPr>
          <w:lang w:val="ro-RO"/>
        </w:rPr>
        <w:t>. Judecătorul care acordă aprobarea unei solicitări de interceptare trebuie să nu fie şi cel care supraveghează punere</w:t>
      </w:r>
      <w:r>
        <w:rPr>
          <w:lang w:val="ro-RO"/>
        </w:rPr>
        <w:t>a</w:t>
      </w:r>
      <w:r w:rsidRPr="00F5644D">
        <w:rPr>
          <w:lang w:val="ro-RO"/>
        </w:rPr>
        <w:t xml:space="preserve"> în aplicare a acestei măsuri.</w:t>
      </w:r>
    </w:p>
    <w:p w:rsidR="006660B9" w:rsidRPr="00F5644D" w:rsidRDefault="006660B9" w:rsidP="003A16ED">
      <w:pPr>
        <w:pStyle w:val="Bodytext21"/>
        <w:shd w:val="clear" w:color="auto" w:fill="auto"/>
        <w:spacing w:before="240" w:line="276" w:lineRule="auto"/>
        <w:ind w:firstLine="0"/>
        <w:jc w:val="both"/>
        <w:rPr>
          <w:lang w:val="ro-RO"/>
        </w:rPr>
      </w:pPr>
      <w:r>
        <w:rPr>
          <w:lang w:val="ro-RO"/>
        </w:rPr>
        <w:t>Este esenţial nu numai ca acest controlul judiciar să fie exercitat în mod independent, fără teama favorizării</w:t>
      </w:r>
      <w:r w:rsidRPr="00F5644D">
        <w:rPr>
          <w:lang w:val="ro-RO"/>
        </w:rPr>
        <w:t xml:space="preserve">, </w:t>
      </w:r>
      <w:r>
        <w:rPr>
          <w:lang w:val="ro-RO"/>
        </w:rPr>
        <w:t>ci şi să fie perceput ca fiind astfel exercitat</w:t>
      </w:r>
      <w:r w:rsidRPr="00F5644D">
        <w:rPr>
          <w:lang w:val="ro-RO"/>
        </w:rPr>
        <w:t xml:space="preserve">. </w:t>
      </w:r>
      <w:r>
        <w:rPr>
          <w:lang w:val="ro-RO"/>
        </w:rPr>
        <w:t>Prin urmare</w:t>
      </w:r>
      <w:r w:rsidRPr="00F5644D">
        <w:rPr>
          <w:lang w:val="ro-RO"/>
        </w:rPr>
        <w:t xml:space="preserve">, </w:t>
      </w:r>
      <w:r>
        <w:rPr>
          <w:lang w:val="ro-RO"/>
        </w:rPr>
        <w:t>este esenţial ca judecătorul însărcinat cu supravegherea</w:t>
      </w:r>
      <w:r w:rsidRPr="00F5644D">
        <w:rPr>
          <w:lang w:val="ro-RO"/>
        </w:rPr>
        <w:t xml:space="preserve"> </w:t>
      </w:r>
      <w:r>
        <w:rPr>
          <w:lang w:val="ro-RO"/>
        </w:rPr>
        <w:t xml:space="preserve">sau orice </w:t>
      </w:r>
      <w:r w:rsidRPr="00F5644D">
        <w:rPr>
          <w:lang w:val="ro-RO"/>
        </w:rPr>
        <w:t xml:space="preserve">alt organism de supraveghere judiciară </w:t>
      </w:r>
      <w:r>
        <w:rPr>
          <w:lang w:val="ro-RO"/>
        </w:rPr>
        <w:t>să nu fie subordonat sau pla</w:t>
      </w:r>
      <w:r w:rsidRPr="00F5644D">
        <w:rPr>
          <w:lang w:val="ro-RO"/>
        </w:rPr>
        <w:t>sat sub controlul efectiv sau sub influen</w:t>
      </w:r>
      <w:r>
        <w:rPr>
          <w:lang w:val="ro-RO"/>
        </w:rPr>
        <w:t>ţ</w:t>
      </w:r>
      <w:r w:rsidRPr="00F5644D">
        <w:rPr>
          <w:lang w:val="ro-RO"/>
        </w:rPr>
        <w:t>a ramurii executive a guvernului, a departamentului care solicită autorizarea sau a oricărei alte persoane ori institu</w:t>
      </w:r>
      <w:r>
        <w:rPr>
          <w:lang w:val="ro-RO"/>
        </w:rPr>
        <w:t>ţ</w:t>
      </w:r>
      <w:r w:rsidRPr="00F5644D">
        <w:rPr>
          <w:lang w:val="ro-RO"/>
        </w:rPr>
        <w:t>ii similare.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Bunăoară, în spe</w:t>
      </w:r>
      <w:r>
        <w:rPr>
          <w:lang w:val="ro-RO"/>
        </w:rPr>
        <w:t>ţ</w:t>
      </w:r>
      <w:r w:rsidRPr="00F5644D">
        <w:rPr>
          <w:lang w:val="ro-RO"/>
        </w:rPr>
        <w:t>a Kopp, CEDO</w:t>
      </w:r>
      <w:r w:rsidRPr="00F5644D">
        <w:rPr>
          <w:vertAlign w:val="superscript"/>
          <w:lang w:val="ro-RO"/>
        </w:rPr>
        <w:footnoteReference w:id="41"/>
      </w:r>
      <w:r w:rsidRPr="00F5644D">
        <w:rPr>
          <w:vertAlign w:val="superscript"/>
          <w:lang w:val="ro-RO"/>
        </w:rPr>
        <w:t xml:space="preserve"> </w:t>
      </w:r>
      <w:r w:rsidRPr="00F5644D">
        <w:rPr>
          <w:lang w:val="ro-RO"/>
        </w:rPr>
        <w:t xml:space="preserve"> a considerat “uimitor” că o sarcină cum ar fi cea care constă în a stabili dacă mai multe conversaţii dintre un avocat şi clientul acestuia referitoare la activităţi altele decât consilierea juridică ar trebui lăsate în sarcina unui membru al executivului fără supervizare din partea unui judecător independent. Singurul organism căruia îi este permis să ia decizia de a interveni în relaţia confidenţială de comunicare dintre client şi avocat trebuie să fie independent</w:t>
      </w:r>
      <w:r w:rsidRPr="00F5644D">
        <w:rPr>
          <w:vertAlign w:val="superscript"/>
          <w:lang w:val="ro-RO"/>
        </w:rPr>
        <w:footnoteReference w:id="42"/>
      </w:r>
      <w:r w:rsidRPr="00F5644D">
        <w:rPr>
          <w:lang w:val="ro-RO"/>
        </w:rPr>
        <w:t>.</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23" w:name="bookmark11"/>
      <w:bookmarkStart w:id="24" w:name="_Toc452047490"/>
      <w:bookmarkStart w:id="25" w:name="_Toc452658686"/>
      <w:r w:rsidRPr="00F5644D">
        <w:rPr>
          <w:lang w:val="ro-RO"/>
        </w:rPr>
        <w:t>Este necesară o autorizare preliminară externă şi, dacă este necesar, şi condiţionată a impunerii măsurii de interceptare.</w:t>
      </w:r>
      <w:bookmarkEnd w:id="23"/>
      <w:bookmarkEnd w:id="24"/>
      <w:bookmarkEnd w:id="25"/>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Pentru a respecta secretul profesional, privilegiul profesiei juridice </w:t>
      </w:r>
      <w:r>
        <w:rPr>
          <w:lang w:val="ro-RO"/>
        </w:rPr>
        <w:t>ş</w:t>
      </w:r>
      <w:r w:rsidRPr="00F5644D">
        <w:rPr>
          <w:lang w:val="ro-RO"/>
        </w:rPr>
        <w:t>i confiden</w:t>
      </w:r>
      <w:r>
        <w:rPr>
          <w:lang w:val="ro-RO"/>
        </w:rPr>
        <w:t>ţ</w:t>
      </w:r>
      <w:r w:rsidRPr="00F5644D">
        <w:rPr>
          <w:lang w:val="ro-RO"/>
        </w:rPr>
        <w:t>ialitatea informaţiilor sensibile în măsura maximă posibilă, este esen</w:t>
      </w:r>
      <w:r>
        <w:rPr>
          <w:lang w:val="ro-RO"/>
        </w:rPr>
        <w:t>ţ</w:t>
      </w:r>
      <w:r w:rsidRPr="00F5644D">
        <w:rPr>
          <w:lang w:val="ro-RO"/>
        </w:rPr>
        <w:t>ial ca autorizarea judiciară să fie ob</w:t>
      </w:r>
      <w:r>
        <w:rPr>
          <w:lang w:val="ro-RO"/>
        </w:rPr>
        <w:t>ţ</w:t>
      </w:r>
      <w:r w:rsidRPr="00F5644D">
        <w:rPr>
          <w:lang w:val="ro-RO"/>
        </w:rPr>
        <w:t xml:space="preserve">inută în prealabil, iar controlul judiciar </w:t>
      </w:r>
      <w:r w:rsidRPr="00F5644D">
        <w:rPr>
          <w:rStyle w:val="Bodytext2Italic"/>
          <w:rFonts w:eastAsia="Arial Unicode MS"/>
          <w:lang w:val="ro-RO"/>
        </w:rPr>
        <w:t>a posteriori</w:t>
      </w:r>
      <w:r w:rsidRPr="00F5644D">
        <w:rPr>
          <w:lang w:val="ro-RO"/>
        </w:rPr>
        <w:t xml:space="preserve"> să fie permis numai în situa</w:t>
      </w:r>
      <w:r>
        <w:rPr>
          <w:lang w:val="ro-RO"/>
        </w:rPr>
        <w:t>ţ</w:t>
      </w:r>
      <w:r w:rsidRPr="00F5644D">
        <w:rPr>
          <w:lang w:val="ro-RO"/>
        </w:rPr>
        <w:t>ii excep</w:t>
      </w:r>
      <w:r>
        <w:rPr>
          <w:lang w:val="ro-RO"/>
        </w:rPr>
        <w:t>ţ</w:t>
      </w:r>
      <w:r w:rsidRPr="00F5644D">
        <w:rPr>
          <w:lang w:val="ro-RO"/>
        </w:rPr>
        <w:t>ionale. Supervizarea trebuie realizată înainte de punerea în aplicare a măsurii de supraveghere pentru a preîntâmpina situaţia instituirii unor măsuri de supravegh</w:t>
      </w:r>
      <w:r>
        <w:rPr>
          <w:lang w:val="ro-RO"/>
        </w:rPr>
        <w:t>ere neautorizate, prin urmare, i</w:t>
      </w:r>
      <w:r w:rsidRPr="00F5644D">
        <w:rPr>
          <w:lang w:val="ro-RO"/>
        </w:rPr>
        <w:t xml:space="preserve">legale. </w:t>
      </w:r>
      <w:r>
        <w:rPr>
          <w:lang w:val="ro-RO"/>
        </w:rPr>
        <w:t>Necesitatea autorizării preliminare a fost clar prevăzută anterior de</w:t>
      </w:r>
      <w:r w:rsidRPr="00F5644D">
        <w:rPr>
          <w:lang w:val="ro-RO"/>
        </w:rPr>
        <w:t xml:space="preserve"> </w:t>
      </w:r>
      <w:r>
        <w:rPr>
          <w:lang w:val="ro-RO"/>
        </w:rPr>
        <w:t>CEDO în legătură cu confidenţialitatea surselor jurnalistice</w:t>
      </w:r>
      <w:r w:rsidRPr="00F5644D">
        <w:rPr>
          <w:lang w:val="ro-RO"/>
        </w:rPr>
        <w:t xml:space="preserve">; </w:t>
      </w:r>
      <w:r>
        <w:rPr>
          <w:lang w:val="ro-RO"/>
        </w:rPr>
        <w:t>în mod evident</w:t>
      </w:r>
      <w:r w:rsidRPr="00F5644D">
        <w:rPr>
          <w:lang w:val="ro-RO"/>
        </w:rPr>
        <w:t xml:space="preserve">, </w:t>
      </w:r>
      <w:r>
        <w:rPr>
          <w:lang w:val="ro-RO"/>
        </w:rPr>
        <w:t>acelaşi raţionament se aplică şi comunicărilor între avocat şi client</w:t>
      </w:r>
      <w:r w:rsidRPr="00F5644D">
        <w:rPr>
          <w:lang w:val="ro-RO"/>
        </w:rPr>
        <w:t>.</w:t>
      </w:r>
      <w:r w:rsidRPr="00F5644D">
        <w:rPr>
          <w:vertAlign w:val="superscript"/>
          <w:lang w:val="ro-RO"/>
        </w:rPr>
        <w:t xml:space="preserve"> </w:t>
      </w:r>
      <w:r w:rsidRPr="00F5644D">
        <w:rPr>
          <w:vertAlign w:val="superscript"/>
          <w:lang w:val="ro-RO"/>
        </w:rPr>
        <w:footnoteReference w:id="43"/>
      </w:r>
    </w:p>
    <w:p w:rsidR="006660B9" w:rsidRPr="00F5644D" w:rsidRDefault="006660B9" w:rsidP="003A16ED">
      <w:pPr>
        <w:pStyle w:val="Bodytext21"/>
        <w:shd w:val="clear" w:color="auto" w:fill="auto"/>
        <w:spacing w:before="240" w:line="276" w:lineRule="auto"/>
        <w:ind w:firstLine="0"/>
        <w:jc w:val="both"/>
        <w:rPr>
          <w:lang w:val="ro-RO"/>
        </w:rPr>
      </w:pPr>
      <w:r>
        <w:rPr>
          <w:lang w:val="ro-RO"/>
        </w:rPr>
        <w:t>În anumite jurisdicţii</w:t>
      </w:r>
      <w:r w:rsidRPr="00F5644D">
        <w:rPr>
          <w:lang w:val="ro-RO"/>
        </w:rPr>
        <w:t xml:space="preserve">, </w:t>
      </w:r>
      <w:r>
        <w:rPr>
          <w:lang w:val="ro-RO"/>
        </w:rPr>
        <w:t>se acordă un rol special preşedintelui baroului sau unei alte autorităţi a baroului</w:t>
      </w:r>
      <w:r w:rsidRPr="00F5644D">
        <w:rPr>
          <w:lang w:val="ro-RO"/>
        </w:rPr>
        <w:t xml:space="preserve">. </w:t>
      </w:r>
      <w:r>
        <w:rPr>
          <w:lang w:val="ro-RO"/>
        </w:rPr>
        <w:t>În multe dintre aceste jurisdicţii</w:t>
      </w:r>
      <w:r w:rsidRPr="00F5644D">
        <w:rPr>
          <w:lang w:val="ro-RO"/>
        </w:rPr>
        <w:t xml:space="preserve">, </w:t>
      </w:r>
      <w:r>
        <w:rPr>
          <w:lang w:val="ro-RO"/>
        </w:rPr>
        <w:t>instituţia baroului este implicată în supravegherea executării unui mandat</w:t>
      </w:r>
      <w:r w:rsidRPr="00F5644D">
        <w:rPr>
          <w:lang w:val="ro-RO"/>
        </w:rPr>
        <w:t xml:space="preserve"> </w:t>
      </w:r>
      <w:r>
        <w:rPr>
          <w:lang w:val="ro-RO"/>
        </w:rPr>
        <w:t>împotriva unui avocat şi, în unele jurisdicţii, instituţia baroului</w:t>
      </w:r>
      <w:r w:rsidRPr="00F5644D">
        <w:rPr>
          <w:lang w:val="ro-RO"/>
        </w:rPr>
        <w:t xml:space="preserve"> </w:t>
      </w:r>
      <w:r>
        <w:rPr>
          <w:lang w:val="ro-RO"/>
        </w:rPr>
        <w:t>este implicată în a analiza</w:t>
      </w:r>
      <w:r w:rsidRPr="00F5644D">
        <w:rPr>
          <w:lang w:val="ro-RO"/>
        </w:rPr>
        <w:t xml:space="preserve">, </w:t>
      </w:r>
      <w:r>
        <w:rPr>
          <w:lang w:val="ro-RO"/>
        </w:rPr>
        <w:t>la momentul aplicării unui mandat</w:t>
      </w:r>
      <w:r w:rsidRPr="00F5644D">
        <w:rPr>
          <w:lang w:val="ro-RO"/>
        </w:rPr>
        <w:t xml:space="preserve">, </w:t>
      </w:r>
      <w:r>
        <w:rPr>
          <w:lang w:val="ro-RO"/>
        </w:rPr>
        <w:t>dacă există probabilitatea ca oricare dintre datele respective să fie afectate de obligaţia secretului profesional sau a privilegiului profesiei juridice şi, prin urmare</w:t>
      </w:r>
      <w:r w:rsidRPr="00F5644D">
        <w:rPr>
          <w:lang w:val="ro-RO"/>
        </w:rPr>
        <w:t xml:space="preserve">, </w:t>
      </w:r>
      <w:r>
        <w:rPr>
          <w:lang w:val="ro-RO"/>
        </w:rPr>
        <w:t>trebuie excluse din domeniul de aplicare al mandatului</w:t>
      </w:r>
      <w:r w:rsidRPr="00F5644D">
        <w:rPr>
          <w:lang w:val="ro-RO"/>
        </w:rPr>
        <w:t xml:space="preserve">. </w:t>
      </w:r>
      <w:r>
        <w:rPr>
          <w:lang w:val="ro-RO"/>
        </w:rPr>
        <w:t>Importanţa rolului preşedintelui baroului sau al altei autorităţi a baroului a fost confirmată de CEDO</w:t>
      </w:r>
      <w:r w:rsidRPr="00F5644D">
        <w:rPr>
          <w:lang w:val="ro-RO"/>
        </w:rPr>
        <w:t xml:space="preserve"> </w:t>
      </w:r>
      <w:r>
        <w:rPr>
          <w:lang w:val="ro-RO"/>
        </w:rPr>
        <w:t xml:space="preserve">în speţa </w:t>
      </w:r>
      <w:r w:rsidRPr="00F5644D">
        <w:rPr>
          <w:rStyle w:val="Bodytext2Italic"/>
          <w:rFonts w:eastAsia="Arial Unicode MS"/>
          <w:lang w:val="ro-RO"/>
        </w:rPr>
        <w:t xml:space="preserve">Michaud </w:t>
      </w:r>
      <w:r>
        <w:rPr>
          <w:rStyle w:val="Bodytext2Italic"/>
          <w:rFonts w:eastAsia="Arial Unicode MS"/>
          <w:lang w:val="ro-RO"/>
        </w:rPr>
        <w:t>împotriva Franţei</w:t>
      </w:r>
      <w:r w:rsidRPr="00F5644D">
        <w:rPr>
          <w:vertAlign w:val="superscript"/>
          <w:lang w:val="ro-RO"/>
        </w:rPr>
        <w:footnoteReference w:id="44"/>
      </w:r>
      <w:r w:rsidRPr="00F5644D">
        <w:rPr>
          <w:lang w:val="ro-RO"/>
        </w:rPr>
        <w:t xml:space="preserve"> (</w:t>
      </w:r>
      <w:r>
        <w:rPr>
          <w:lang w:val="ro-RO"/>
        </w:rPr>
        <w:t>care, în această privinţă, a confirmat jurisprudenţa anterioară a Curţii</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Prin urmare</w:t>
      </w:r>
      <w:r w:rsidRPr="00F5644D">
        <w:rPr>
          <w:lang w:val="ro-RO"/>
        </w:rPr>
        <w:t xml:space="preserve">, </w:t>
      </w:r>
      <w:r>
        <w:rPr>
          <w:lang w:val="ro-RO"/>
        </w:rPr>
        <w:t>în acele jurisdicţii în care se acordă un astfel de rol preşedintelui baroului sau unei alte autorităţi a baroului</w:t>
      </w:r>
      <w:r w:rsidRPr="00F5644D">
        <w:rPr>
          <w:lang w:val="ro-RO"/>
        </w:rPr>
        <w:t xml:space="preserve">, </w:t>
      </w:r>
      <w:r>
        <w:rPr>
          <w:lang w:val="ro-RO"/>
        </w:rPr>
        <w:t>normele speciale care guvernează eliberarea sau executarea mandatului ar trebui să fie în continuare respectate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În toate cazurile, orice autorizare judiciară preliminară ar trebui să fie valabilă numai pentru un interval de timp definit </w:t>
      </w:r>
      <w:r>
        <w:rPr>
          <w:lang w:val="ro-RO"/>
        </w:rPr>
        <w:t>ş</w:t>
      </w:r>
      <w:r w:rsidRPr="00F5644D">
        <w:rPr>
          <w:lang w:val="ro-RO"/>
        </w:rPr>
        <w:t>i rezonabil, pentru a se da posibilitatea unei evaluări regulate a situaţiei şi a legalităţii măsurilor impuse.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După cum am men</w:t>
      </w:r>
      <w:r>
        <w:rPr>
          <w:lang w:val="ro-RO"/>
        </w:rPr>
        <w:t>ţ</w:t>
      </w:r>
      <w:r w:rsidRPr="00F5644D">
        <w:rPr>
          <w:lang w:val="ro-RO"/>
        </w:rPr>
        <w:t xml:space="preserve">ionat mai sus, se poate permite un control </w:t>
      </w:r>
      <w:r w:rsidRPr="00F5644D">
        <w:rPr>
          <w:i/>
          <w:iCs/>
          <w:lang w:val="ro-RO"/>
        </w:rPr>
        <w:t>a posteriori</w:t>
      </w:r>
      <w:r w:rsidRPr="00F5644D">
        <w:rPr>
          <w:lang w:val="ro-RO"/>
        </w:rPr>
        <w:t xml:space="preserve"> în anumite situaţii speciale, de exemplu atunci când există o amenin</w:t>
      </w:r>
      <w:r>
        <w:rPr>
          <w:lang w:val="ro-RO"/>
        </w:rPr>
        <w:t>ţ</w:t>
      </w:r>
      <w:r w:rsidRPr="00F5644D">
        <w:rPr>
          <w:lang w:val="ro-RO"/>
        </w:rPr>
        <w:t xml:space="preserve">are gravă, iminentă, </w:t>
      </w:r>
      <w:r>
        <w:rPr>
          <w:lang w:val="ro-RO"/>
        </w:rPr>
        <w:t xml:space="preserve">şi </w:t>
      </w:r>
      <w:r w:rsidRPr="00F5644D">
        <w:rPr>
          <w:lang w:val="ro-RO"/>
        </w:rPr>
        <w:t xml:space="preserve">niciun judecător nu este disponibil imediat pentru a acorda autorizarea. Însă se recomandă ca această măsură să fie disponibilă numai </w:t>
      </w:r>
      <w:r w:rsidRPr="00F5644D">
        <w:rPr>
          <w:rStyle w:val="Bodytext2Italic"/>
          <w:rFonts w:eastAsia="Arial Unicode MS"/>
          <w:lang w:val="ro-RO"/>
        </w:rPr>
        <w:t>in extremis:</w:t>
      </w:r>
      <w:r w:rsidRPr="00F5644D">
        <w:rPr>
          <w:lang w:val="ro-RO"/>
        </w:rPr>
        <w:t xml:space="preserve"> pentru a preveni situaţiile în care trebuie să se realizeze controale </w:t>
      </w:r>
      <w:r w:rsidRPr="00F5644D">
        <w:rPr>
          <w:i/>
          <w:iCs/>
          <w:lang w:val="ro-RO"/>
        </w:rPr>
        <w:t xml:space="preserve">a posteriori, </w:t>
      </w:r>
      <w:r w:rsidRPr="00F5644D">
        <w:rPr>
          <w:lang w:val="ro-RO"/>
        </w:rPr>
        <w:t>s-a sugerat că statul trebuie să aibă obliga</w:t>
      </w:r>
      <w:r>
        <w:rPr>
          <w:lang w:val="ro-RO"/>
        </w:rPr>
        <w:t>ţ</w:t>
      </w:r>
      <w:r w:rsidRPr="00F5644D">
        <w:rPr>
          <w:lang w:val="ro-RO"/>
        </w:rPr>
        <w:t>ia de a lua toate măsurile necesare pentru a se asigura că organul judiciar este, în măsura maximă posibilă, disponibil în orice moment.</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Odată ce autorizarea a fost acordată, un organism separat care îndeplineşte aceleaşi cerinţe ca acela care emite autoriza</w:t>
      </w:r>
      <w:r>
        <w:rPr>
          <w:lang w:val="ro-RO"/>
        </w:rPr>
        <w:t>ţ</w:t>
      </w:r>
      <w:r w:rsidRPr="00F5644D">
        <w:rPr>
          <w:lang w:val="ro-RO"/>
        </w:rPr>
        <w:t>ia trebuie să supravegheze procesul de punere a aplicare a măsurii de interceptare pentru care s-a acordat permisiunea. Acest organism trebuie să deţină prerogativul de a înceta interceptarea şi/sau de a distruge datele rezultate în urma interceptării în cazul în care se constată că măsurile de supraveghere sunt puse în aplicare într-o manieră ilegală.</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Pentru a preveni orice abuz săvârşit de către autorităţile de supraveghere şi de autorităţile de aplicare a legii, este important ca un organism judiciar independent să monitorizeze procesul de punere în aplicare a măsurii respective. Pentru a fi cuprinzătoare </w:t>
      </w:r>
      <w:r>
        <w:rPr>
          <w:lang w:val="ro-RO"/>
        </w:rPr>
        <w:t>ş</w:t>
      </w:r>
      <w:r w:rsidRPr="00F5644D">
        <w:rPr>
          <w:lang w:val="ro-RO"/>
        </w:rPr>
        <w:t>i eficientă, punerea în aplicare a măsurii trebuie să îndeplinească condi</w:t>
      </w:r>
      <w:r>
        <w:rPr>
          <w:lang w:val="ro-RO"/>
        </w:rPr>
        <w:t>ţ</w:t>
      </w:r>
      <w:r w:rsidRPr="00F5644D">
        <w:rPr>
          <w:lang w:val="ro-RO"/>
        </w:rPr>
        <w:t>ia respectării permisiunii, a</w:t>
      </w:r>
      <w:r>
        <w:rPr>
          <w:lang w:val="ro-RO"/>
        </w:rPr>
        <w:t>ş</w:t>
      </w:r>
      <w:r w:rsidRPr="00F5644D">
        <w:rPr>
          <w:lang w:val="ro-RO"/>
        </w:rPr>
        <w:t>a cum a fost aceasta acordată, inclusiv, după caz, a oricăror condi</w:t>
      </w:r>
      <w:r>
        <w:rPr>
          <w:lang w:val="ro-RO"/>
        </w:rPr>
        <w:t>ţ</w:t>
      </w:r>
      <w:r w:rsidRPr="00F5644D">
        <w:rPr>
          <w:lang w:val="ro-RO"/>
        </w:rPr>
        <w:t>ii cuprinse în aceasta sau aferente ei, inclusiv condi</w:t>
      </w:r>
      <w:r>
        <w:rPr>
          <w:lang w:val="ro-RO"/>
        </w:rPr>
        <w:t>ţ</w:t>
      </w:r>
      <w:r w:rsidRPr="00F5644D">
        <w:rPr>
          <w:lang w:val="ro-RO"/>
        </w:rPr>
        <w:t>ii precum: (i) păstrarea datelor interceptate, (ii) punerea acestor date la dispozi</w:t>
      </w:r>
      <w:r>
        <w:rPr>
          <w:lang w:val="ro-RO"/>
        </w:rPr>
        <w:t>ţ</w:t>
      </w:r>
      <w:r w:rsidRPr="00F5644D">
        <w:rPr>
          <w:lang w:val="ro-RO"/>
        </w:rPr>
        <w:t>ia altora (altor agen</w:t>
      </w:r>
      <w:r>
        <w:rPr>
          <w:lang w:val="ro-RO"/>
        </w:rPr>
        <w:t>ţ</w:t>
      </w:r>
      <w:r w:rsidRPr="00F5644D">
        <w:rPr>
          <w:lang w:val="ro-RO"/>
        </w:rPr>
        <w:t xml:space="preserve">ii sau unor guverne străine), (iii) selectarea </w:t>
      </w:r>
      <w:r>
        <w:rPr>
          <w:lang w:val="ro-RO"/>
        </w:rPr>
        <w:t>ş</w:t>
      </w:r>
      <w:r w:rsidRPr="00F5644D">
        <w:rPr>
          <w:lang w:val="ro-RO"/>
        </w:rPr>
        <w:t>i analizarea datelor colectate, (iv) condiţiile în care devine obligatorie notificarea obiectului interceptării în privin</w:t>
      </w:r>
      <w:r>
        <w:rPr>
          <w:lang w:val="ro-RO"/>
        </w:rPr>
        <w:t>ţ</w:t>
      </w:r>
      <w:r w:rsidRPr="00F5644D">
        <w:rPr>
          <w:lang w:val="ro-RO"/>
        </w:rPr>
        <w:t xml:space="preserve">a interceptării </w:t>
      </w:r>
      <w:r>
        <w:rPr>
          <w:lang w:val="ro-RO"/>
        </w:rPr>
        <w:t>ş</w:t>
      </w:r>
      <w:r w:rsidRPr="00F5644D">
        <w:rPr>
          <w:lang w:val="ro-RO"/>
        </w:rPr>
        <w:t>i (v) divulgarea (integrală sau par</w:t>
      </w:r>
      <w:r>
        <w:rPr>
          <w:lang w:val="ro-RO"/>
        </w:rPr>
        <w:t>ţ</w:t>
      </w:r>
      <w:r w:rsidRPr="00F5644D">
        <w:rPr>
          <w:lang w:val="ro-RO"/>
        </w:rPr>
        <w:t xml:space="preserve">ială) a datelor interceptate </w:t>
      </w:r>
      <w:r>
        <w:rPr>
          <w:lang w:val="ro-RO"/>
        </w:rPr>
        <w:t>ş</w:t>
      </w:r>
      <w:r w:rsidRPr="00F5644D">
        <w:rPr>
          <w:lang w:val="ro-RO"/>
        </w:rPr>
        <w:t>i colectate.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Deşi există o cerinţă de supraveghere judiciară înainte de exercitarea unui prerogativ de supraveghere (prin impunerea unei cerinţe legale ca un mandat judiciar să fie necesar pentru exercitarea acelui prerogativ) şi </w:t>
      </w:r>
      <w:r w:rsidRPr="00F5644D">
        <w:rPr>
          <w:i/>
          <w:iCs/>
          <w:lang w:val="ro-RO"/>
        </w:rPr>
        <w:t>ex post facto</w:t>
      </w:r>
      <w:r w:rsidRPr="00F5644D">
        <w:rPr>
          <w:lang w:val="ro-RO"/>
        </w:rPr>
        <w:t xml:space="preserve"> (de exemplu pentru a se putea gestiona o recl</w:t>
      </w:r>
      <w:r>
        <w:rPr>
          <w:lang w:val="ro-RO"/>
        </w:rPr>
        <w:t>amaţie privitoare la acţiunea i</w:t>
      </w:r>
      <w:r w:rsidRPr="00F5644D">
        <w:rPr>
          <w:lang w:val="ro-RO"/>
        </w:rPr>
        <w:t xml:space="preserve">legală a unui serviciu de securitate într-o anumită situaţie), concluzia nu este neapărat aceea că supervizarea anterioară şi cea </w:t>
      </w:r>
      <w:r w:rsidRPr="00F5644D">
        <w:rPr>
          <w:i/>
          <w:iCs/>
          <w:lang w:val="ro-RO"/>
        </w:rPr>
        <w:t>ex post facto</w:t>
      </w:r>
      <w:r w:rsidRPr="00F5644D">
        <w:rPr>
          <w:lang w:val="ro-RO"/>
        </w:rPr>
        <w:t xml:space="preserve"> necesită să fie realizată de acelaşi organism (de exemplu acordarea unui mandat poate depinde de un singur judecător, pe când controlul </w:t>
      </w:r>
      <w:r w:rsidRPr="00F5644D">
        <w:rPr>
          <w:i/>
          <w:iCs/>
          <w:lang w:val="ro-RO"/>
        </w:rPr>
        <w:t xml:space="preserve">ex post facto </w:t>
      </w:r>
      <w:r w:rsidRPr="00F5644D">
        <w:rPr>
          <w:lang w:val="ro-RO"/>
        </w:rPr>
        <w:t>poate fi exercitat de către un tribunal special), cu condiţia ca cerinţele de mai sus să fie îndeplinite de fiecare dintre acestea.</w:t>
      </w:r>
    </w:p>
    <w:p w:rsidR="006660B9" w:rsidRPr="00F5644D" w:rsidRDefault="006660B9" w:rsidP="003A16ED">
      <w:pPr>
        <w:pStyle w:val="Bodytext61"/>
        <w:shd w:val="clear" w:color="auto" w:fill="auto"/>
        <w:spacing w:before="240" w:line="276" w:lineRule="auto"/>
        <w:rPr>
          <w:lang w:val="ro-RO"/>
        </w:rPr>
      </w:pPr>
      <w:r w:rsidRPr="00F5644D">
        <w:rPr>
          <w:lang w:val="ro-RO"/>
        </w:rPr>
        <w:t>Mandatul organismului de supraveghere</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26" w:name="bookmark12"/>
      <w:bookmarkStart w:id="27" w:name="_Toc452047491"/>
      <w:bookmarkStart w:id="28" w:name="_Toc452658687"/>
      <w:r w:rsidRPr="00F5644D">
        <w:rPr>
          <w:lang w:val="ro-RO"/>
        </w:rPr>
        <w:t>Organul sau organele de supraveghere trebuie să primească sarcina asigurării că măsurile de supraveghere nu încalcă privilegiul profesiei juridice sau secretul profesional.</w:t>
      </w:r>
      <w:bookmarkEnd w:id="26"/>
      <w:bookmarkEnd w:id="27"/>
      <w:bookmarkEnd w:id="28"/>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În acest scop, atunci când se evaluează oportunitatea eliberării unui mandat de interceptare, organul de supraveghere ar trebui să încerce să cerceteze şi legalitatea şi eficienţa măsurii de supraveghere: în cazul unor comunicări cu avocaţii, organul de supraveghere trebuie să solicite dovezi indiscutabile cu privire la faptul că respectivul act de comunicare nu se încadrează în categoria materialelor protejate de privilegiul profesiei juridice sau de secretul profesional. De asemenea, orice supervizare ar trebui să asigure că sunt respectate garan</w:t>
      </w:r>
      <w:r>
        <w:rPr>
          <w:lang w:val="ro-RO"/>
        </w:rPr>
        <w:t>ţ</w:t>
      </w:r>
      <w:r w:rsidRPr="00F5644D">
        <w:rPr>
          <w:lang w:val="ro-RO"/>
        </w:rPr>
        <w:t>iile procedurale existente referitoare la avoca</w:t>
      </w:r>
      <w:r>
        <w:rPr>
          <w:lang w:val="ro-RO"/>
        </w:rPr>
        <w:t>ţ</w:t>
      </w:r>
      <w:r w:rsidRPr="00F5644D">
        <w:rPr>
          <w:lang w:val="ro-RO"/>
        </w:rPr>
        <w:t>i (de exemplu, implicarea pre</w:t>
      </w:r>
      <w:r>
        <w:rPr>
          <w:lang w:val="ro-RO"/>
        </w:rPr>
        <w:t>ş</w:t>
      </w:r>
      <w:r w:rsidRPr="00F5644D">
        <w:rPr>
          <w:lang w:val="ro-RO"/>
        </w:rPr>
        <w:t>edintelui baroului sau a altei autorită</w:t>
      </w:r>
      <w:r>
        <w:rPr>
          <w:lang w:val="ro-RO"/>
        </w:rPr>
        <w:t>ţ</w:t>
      </w:r>
      <w:r w:rsidRPr="00F5644D">
        <w:rPr>
          <w:lang w:val="ro-RO"/>
        </w:rPr>
        <w:t>i a baroului).</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Organul respectiv trebuie să constate că există măsuri corespunzătoare pentru minimizarea riscului de recuperare accidentală a actelor de comunicare protejate de privilegiul profesiei juridice sau de secretul profesional, pentru a evalua în mod obiectiv dacă materialul recuperat în mod accidental nu se încadrează în categoria datelor astfel protejate, precum şi pentru a limita şi a controla orice posibilitate de valorificare a unui material care este astfel protejat </w:t>
      </w:r>
      <w:r>
        <w:rPr>
          <w:lang w:val="ro-RO"/>
        </w:rPr>
        <w:t>ş</w:t>
      </w:r>
      <w:r w:rsidRPr="00F5644D">
        <w:rPr>
          <w:lang w:val="ro-RO"/>
        </w:rPr>
        <w:t>i care este recuperat accidental.</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Organismul care exercită controlul ex post facto trebuie de asemenea să se asigure că agenţia de securitate nu a încălcat niciunul dintre principiile enunţate mai sus.</w:t>
      </w:r>
    </w:p>
    <w:p w:rsidR="006660B9" w:rsidRPr="00F5644D" w:rsidRDefault="006660B9" w:rsidP="003A16ED">
      <w:pPr>
        <w:pStyle w:val="Bodytext61"/>
        <w:shd w:val="clear" w:color="auto" w:fill="auto"/>
        <w:spacing w:before="240" w:line="276" w:lineRule="auto"/>
        <w:rPr>
          <w:lang w:val="ro-RO"/>
        </w:rPr>
      </w:pPr>
      <w:r w:rsidRPr="00F5644D">
        <w:rPr>
          <w:lang w:val="ro-RO"/>
        </w:rPr>
        <w:t xml:space="preserve">Prerogativele organelor de supraveghere </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Pentru a-</w:t>
      </w:r>
      <w:r>
        <w:rPr>
          <w:lang w:val="ro-RO"/>
        </w:rPr>
        <w:t>ş</w:t>
      </w:r>
      <w:r w:rsidRPr="00F5644D">
        <w:rPr>
          <w:lang w:val="ro-RO"/>
        </w:rPr>
        <w:t>i duce la îndeplinire mandatul, organul de supraveghere trebuie să primească prin lege un prerogative propor</w:t>
      </w:r>
      <w:r>
        <w:rPr>
          <w:lang w:val="ro-RO"/>
        </w:rPr>
        <w:t>ţ</w:t>
      </w:r>
      <w:r w:rsidRPr="00F5644D">
        <w:rPr>
          <w:lang w:val="ro-RO"/>
        </w:rPr>
        <w:t xml:space="preserve">ionale, adecvate </w:t>
      </w:r>
      <w:r>
        <w:rPr>
          <w:lang w:val="ro-RO"/>
        </w:rPr>
        <w:t>ş</w:t>
      </w:r>
      <w:r w:rsidRPr="00F5644D">
        <w:rPr>
          <w:lang w:val="ro-RO"/>
        </w:rPr>
        <w:t>i cu caracter obligatoriu. Aceste competenţe trebuie să-i ofere organului respectiv posibilitatea de a lua decizii pe deplin avizate şi aplicabile în practică.</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Pentru a putea lua decizii pe deplin avizate, organele de supraveghere ar trebui să aibă acces la următoarele:</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 xml:space="preserve">Toate dovezile privitoare la faptul că respectivele comunicări nu fac obiectul secretului profesional sau al privilegiului profesiei juridice şi că nu există nicio altă modalitate de a obţine dovezi privind săvârşirea unei infracţiuni decât interceptarea acelor comunicări. În cazul unei supravegheri </w:t>
      </w:r>
      <w:r w:rsidRPr="00F5644D">
        <w:rPr>
          <w:i/>
          <w:iCs/>
          <w:lang w:val="ro-RO"/>
        </w:rPr>
        <w:t xml:space="preserve">ex post facto, </w:t>
      </w:r>
      <w:r w:rsidRPr="00F5644D">
        <w:rPr>
          <w:lang w:val="ro-RO"/>
        </w:rPr>
        <w:t>aceasta va include toate materialele interceptate</w:t>
      </w:r>
      <w:r w:rsidRPr="00F5644D">
        <w:rPr>
          <w:vertAlign w:val="superscript"/>
          <w:lang w:val="ro-RO"/>
        </w:rPr>
        <w:t xml:space="preserve"> </w:t>
      </w:r>
      <w:r w:rsidRPr="00F5644D">
        <w:rPr>
          <w:vertAlign w:val="superscript"/>
          <w:lang w:val="ro-RO"/>
        </w:rPr>
        <w:footnoteReference w:id="45"/>
      </w:r>
      <w:r w:rsidRPr="00F5644D">
        <w:rPr>
          <w:lang w:val="ro-RO"/>
        </w:rPr>
        <w:t>.</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 xml:space="preserve">Orice politici, coduri de practică </w:t>
      </w:r>
      <w:r>
        <w:rPr>
          <w:lang w:val="ro-RO"/>
        </w:rPr>
        <w:t>ş</w:t>
      </w:r>
      <w:r w:rsidRPr="00F5644D">
        <w:rPr>
          <w:lang w:val="ro-RO"/>
        </w:rPr>
        <w:t>i ghiduri elaborate de stat pentru controlul şi supervizarea materialelor interceptate care fac obiectul, sau care ar putea face obiectul secretului profesional sau al privilegiului profesiei juridice.</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Ordinele primite de către persoanele private pentru furnizarea de informaţii către guvern.</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Este important să punem în evidenţă aici faptul că, în cazul în care organele de supervizare nu deţin măcar prerogativul de a înceta supravegherea comunicărilor dintre avocaţi şi clienţii acestora, atunci organele nu-şi vor putea îndeplini mandatul</w:t>
      </w:r>
      <w:r w:rsidRPr="00F5644D">
        <w:rPr>
          <w:vertAlign w:val="superscript"/>
          <w:lang w:val="ro-RO"/>
        </w:rPr>
        <w:footnoteReference w:id="46"/>
      </w:r>
      <w:r w:rsidRPr="00F5644D">
        <w:rPr>
          <w:lang w:val="ro-RO"/>
        </w:rPr>
        <w:t>. Prin urmare, pentru a putea lua decizii aplicabile, organele de supraveghere ar trebui să poată proceda astfel:</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Să autorizeze măsura de supraveghere (dacă este considerată a fi legală şi eficientă).</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Să invalideze orice ordin de interceptare pe care îl consideră a fi ilegal</w:t>
      </w:r>
      <w:r w:rsidRPr="00F5644D">
        <w:rPr>
          <w:vertAlign w:val="superscript"/>
          <w:lang w:val="ro-RO"/>
        </w:rPr>
        <w:t xml:space="preserve"> </w:t>
      </w:r>
      <w:r w:rsidRPr="00F5644D">
        <w:rPr>
          <w:vertAlign w:val="superscript"/>
          <w:lang w:val="ro-RO"/>
        </w:rPr>
        <w:footnoteReference w:id="47"/>
      </w:r>
      <w:r w:rsidRPr="00F5644D">
        <w:rPr>
          <w:lang w:val="ro-RO"/>
        </w:rPr>
        <w:t>.</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Să emită către autorită</w:t>
      </w:r>
      <w:r>
        <w:rPr>
          <w:lang w:val="ro-RO"/>
        </w:rPr>
        <w:t>ţ</w:t>
      </w:r>
      <w:r w:rsidRPr="00F5644D">
        <w:rPr>
          <w:lang w:val="ro-RO"/>
        </w:rPr>
        <w:t>ile de resort ordinul de încetare şi suspendare a oricăror interceptări directe sau indirecte, primirea, înregistrarea, monitorizarea şi transcrierea oricăror forme de comunicare cu orice avocaţi, în cazul în care se constată ilegalitatea acestora.</w:t>
      </w:r>
    </w:p>
    <w:p w:rsidR="006660B9" w:rsidRPr="00F5644D" w:rsidRDefault="006660B9" w:rsidP="003A16ED">
      <w:pPr>
        <w:pStyle w:val="Bodytext21"/>
        <w:numPr>
          <w:ilvl w:val="0"/>
          <w:numId w:val="3"/>
        </w:numPr>
        <w:shd w:val="clear" w:color="auto" w:fill="auto"/>
        <w:spacing w:before="240" w:line="276" w:lineRule="auto"/>
        <w:ind w:left="360" w:hanging="360"/>
        <w:jc w:val="both"/>
        <w:rPr>
          <w:lang w:val="ro-RO"/>
        </w:rPr>
      </w:pPr>
      <w:r w:rsidRPr="00F5644D">
        <w:rPr>
          <w:lang w:val="ro-RO"/>
        </w:rPr>
        <w:t>Să emită un ordin privind distrugerea permanentă</w:t>
      </w:r>
      <w:r w:rsidRPr="00F5644D">
        <w:rPr>
          <w:vertAlign w:val="superscript"/>
          <w:lang w:val="ro-RO"/>
        </w:rPr>
        <w:footnoteReference w:id="48"/>
      </w:r>
      <w:r w:rsidRPr="00F5644D">
        <w:rPr>
          <w:lang w:val="ro-RO"/>
        </w:rPr>
        <w:t xml:space="preserve"> a oricăror interceptări directe sau indirecte, primirea, înregistrarea, monitorizarea şi transcrierea oricăror forme de comunicare cu orice avocaţi, în cazul în care se constată ilegalitatea acestora. În special, în situaţia supravegherii </w:t>
      </w:r>
      <w:r w:rsidRPr="00F5644D">
        <w:rPr>
          <w:i/>
          <w:iCs/>
          <w:lang w:val="ro-RO"/>
        </w:rPr>
        <w:t>ex post facto</w:t>
      </w:r>
      <w:r w:rsidRPr="00F5644D">
        <w:rPr>
          <w:lang w:val="ro-RO"/>
        </w:rPr>
        <w:t>, organul trebuie să poată să interzică punerea la dispoziţia parchetului sau a oricărei agen</w:t>
      </w:r>
      <w:r>
        <w:rPr>
          <w:lang w:val="ro-RO"/>
        </w:rPr>
        <w:t>ţ</w:t>
      </w:r>
      <w:r w:rsidRPr="00F5644D">
        <w:rPr>
          <w:lang w:val="ro-RO"/>
        </w:rPr>
        <w:t>ii guvernamentale implicate în urmărirea penală sau care reprezintă ori consiliază guvernul într-o spe</w:t>
      </w:r>
      <w:r>
        <w:rPr>
          <w:lang w:val="ro-RO"/>
        </w:rPr>
        <w:t>ţ</w:t>
      </w:r>
      <w:r w:rsidRPr="00F5644D">
        <w:rPr>
          <w:lang w:val="ro-RO"/>
        </w:rPr>
        <w:t>ă civilă.</w:t>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29" w:name="_Toc452658688"/>
      <w:r w:rsidRPr="00F5644D">
        <w:rPr>
          <w:lang w:val="ro-RO"/>
        </w:rPr>
        <w:t>Valorificarea interceptărilor</w:t>
      </w:r>
      <w:bookmarkEnd w:id="29"/>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Orice material interceptat şi obţinut în lipsa autorizării judiciare (prealabile) şi cu încălcarea principiului secretului profesional sau privilegiului profesiei juridice trebuie considerat inadmisibil de către instanţă.</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După cum a recunoscut şi CEDO în repetate rânduri</w:t>
      </w:r>
      <w:r w:rsidRPr="00F5644D">
        <w:rPr>
          <w:vertAlign w:val="superscript"/>
          <w:lang w:val="ro-RO"/>
        </w:rPr>
        <w:footnoteReference w:id="49"/>
      </w:r>
      <w:r w:rsidRPr="00F5644D">
        <w:rPr>
          <w:lang w:val="ro-RO"/>
        </w:rPr>
        <w:t xml:space="preserve"> secretul profesional </w:t>
      </w:r>
      <w:r>
        <w:rPr>
          <w:lang w:val="ro-RO"/>
        </w:rPr>
        <w:t>ş</w:t>
      </w:r>
      <w:r w:rsidRPr="00F5644D">
        <w:rPr>
          <w:lang w:val="ro-RO"/>
        </w:rPr>
        <w:t xml:space="preserve">i privilegiul profesiei juridice sunt inextricabil legate de dreptul la un proces echitabil. </w:t>
      </w:r>
      <w:r>
        <w:rPr>
          <w:lang w:val="ro-RO"/>
        </w:rPr>
        <w:t>Există referiri la discutarea jurisprudenţei în secţiunea II de mai sus</w:t>
      </w:r>
      <w:r w:rsidRPr="00F5644D">
        <w:rPr>
          <w:lang w:val="ro-RO"/>
        </w:rPr>
        <w:t xml:space="preserve">. În urma acestui raţionament, concluzia este că orice probă obţinută cu încălcarea secretului profesional sau a privilegiului profesiei juridice ar trebui să fie admisibilă în instanţă numai dacă măsura de supraveghere a fost autorizată în mod adecvat de un organ de supraveghere judiciară independent, în maniera prevăzută în </w:t>
      </w:r>
      <w:r>
        <w:rPr>
          <w:lang w:val="ro-RO"/>
        </w:rPr>
        <w:t>s</w:t>
      </w:r>
      <w:r w:rsidRPr="00F5644D">
        <w:rPr>
          <w:lang w:val="ro-RO"/>
        </w:rPr>
        <w:t xml:space="preserve">ecţiunea 4. </w:t>
      </w:r>
      <w:r>
        <w:rPr>
          <w:lang w:val="ro-RO"/>
        </w:rPr>
        <w:t>Mai mult</w:t>
      </w:r>
      <w:r w:rsidRPr="00F5644D">
        <w:rPr>
          <w:lang w:val="ro-RO"/>
        </w:rPr>
        <w:t xml:space="preserve">, </w:t>
      </w:r>
      <w:r>
        <w:rPr>
          <w:lang w:val="ro-RO"/>
        </w:rPr>
        <w:t>pentru a evita riscul posibilităţii ca statul să valorifice materialele interceptate legal</w:t>
      </w:r>
      <w:r w:rsidRPr="00F5644D">
        <w:rPr>
          <w:lang w:val="ro-RO"/>
        </w:rPr>
        <w:t xml:space="preserve"> </w:t>
      </w:r>
      <w:r>
        <w:rPr>
          <w:lang w:val="ro-RO"/>
        </w:rPr>
        <w:t>în definirea şi documentarea tacticilor sale şi a abordării procedurilor legale, fără a informa apărarea în legătură cu acele materiale</w:t>
      </w:r>
      <w:r w:rsidRPr="00F5644D">
        <w:rPr>
          <w:lang w:val="ro-RO"/>
        </w:rPr>
        <w:t xml:space="preserve"> (</w:t>
      </w:r>
      <w:r>
        <w:rPr>
          <w:lang w:val="ro-RO"/>
        </w:rPr>
        <w:t>apărarea neputând, astfel, să le supună analizei juridice</w:t>
      </w:r>
      <w:r w:rsidRPr="00F5644D">
        <w:rPr>
          <w:lang w:val="ro-RO"/>
        </w:rPr>
        <w:t>)</w:t>
      </w:r>
      <w:r>
        <w:rPr>
          <w:lang w:val="ro-RO"/>
        </w:rPr>
        <w:t>, materialele obţinute legal ar trebui dezvăluite avocaţilor care apără partea ale cărei date sau comunicări privilegiate au făcut obiectul supravegherii</w:t>
      </w:r>
      <w:r w:rsidRPr="00F5644D">
        <w:rPr>
          <w:lang w:val="ro-RO"/>
        </w:rPr>
        <w:t xml:space="preserve"> </w:t>
      </w:r>
      <w:r>
        <w:rPr>
          <w:lang w:val="ro-RO"/>
        </w:rPr>
        <w:t>şi să fie admisibile ca probe în instanţă</w:t>
      </w:r>
      <w:r w:rsidRPr="00F5644D">
        <w:rPr>
          <w:lang w:val="ro-RO"/>
        </w:rPr>
        <w:t>.</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30" w:name="bookmark14"/>
      <w:bookmarkStart w:id="31" w:name="_Toc452047493"/>
      <w:bookmarkStart w:id="32" w:name="_Toc452658689"/>
      <w:r w:rsidRPr="00F5644D">
        <w:rPr>
          <w:lang w:val="ro-RO"/>
        </w:rPr>
        <w:t>Orice material interceptat în mod legal ar trebui să fie utilizat doar pentru scopul pentru care s-a acordat autorizaţia de către organul de supraveghere.</w:t>
      </w:r>
      <w:bookmarkEnd w:id="30"/>
      <w:bookmarkEnd w:id="31"/>
      <w:bookmarkEnd w:id="32"/>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Orice altă utilizare este de natură să încalce principiile secretului profesional </w:t>
      </w:r>
      <w:r>
        <w:rPr>
          <w:lang w:val="ro-RO"/>
        </w:rPr>
        <w:t>ş</w:t>
      </w:r>
      <w:r w:rsidRPr="00F5644D">
        <w:rPr>
          <w:lang w:val="ro-RO"/>
        </w:rPr>
        <w:t xml:space="preserve">i privilegiului profesiei juridice </w:t>
      </w:r>
      <w:r>
        <w:rPr>
          <w:lang w:val="ro-RO"/>
        </w:rPr>
        <w:t>ş</w:t>
      </w:r>
      <w:r w:rsidRPr="00F5644D">
        <w:rPr>
          <w:lang w:val="ro-RO"/>
        </w:rPr>
        <w:t>i, prin urmare, trebuie considerată inadmisibil de către instanţă.</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33" w:name="bookmark15"/>
      <w:bookmarkStart w:id="34" w:name="_Toc452047494"/>
      <w:bookmarkStart w:id="35" w:name="_Toc452658690"/>
      <w:r w:rsidRPr="00F5644D">
        <w:rPr>
          <w:lang w:val="ro-RO"/>
        </w:rPr>
        <w:t>În situaţia în care un material interceptat este considerat ca fiind ilegal, trebuie solicitată distrugerea acestuia.</w:t>
      </w:r>
      <w:bookmarkEnd w:id="33"/>
      <w:bookmarkEnd w:id="34"/>
      <w:bookmarkEnd w:id="35"/>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Aceasta include toate informaţiile privitoare la comunicare, cum ar fi participanţii, ora, locul, şi toate celelalte informaţii relevante.</w:t>
      </w:r>
    </w:p>
    <w:p w:rsidR="006660B9" w:rsidRPr="00F5644D" w:rsidRDefault="006660B9" w:rsidP="003A16ED">
      <w:pPr>
        <w:pStyle w:val="Heading10"/>
        <w:keepNext/>
        <w:keepLines/>
        <w:numPr>
          <w:ilvl w:val="0"/>
          <w:numId w:val="6"/>
        </w:numPr>
        <w:shd w:val="clear" w:color="auto" w:fill="auto"/>
        <w:spacing w:before="240" w:line="276" w:lineRule="auto"/>
        <w:rPr>
          <w:lang w:val="ro-RO"/>
        </w:rPr>
      </w:pPr>
      <w:bookmarkStart w:id="36" w:name="_Toc452658691"/>
      <w:r w:rsidRPr="00F5644D">
        <w:rPr>
          <w:lang w:val="ro-RO"/>
        </w:rPr>
        <w:t xml:space="preserve">Căi de atac </w:t>
      </w:r>
      <w:r>
        <w:rPr>
          <w:lang w:val="ro-RO"/>
        </w:rPr>
        <w:t>ş</w:t>
      </w:r>
      <w:r w:rsidRPr="00F5644D">
        <w:rPr>
          <w:lang w:val="ro-RO"/>
        </w:rPr>
        <w:t>i sanc</w:t>
      </w:r>
      <w:r>
        <w:rPr>
          <w:lang w:val="ro-RO"/>
        </w:rPr>
        <w:t>ţ</w:t>
      </w:r>
      <w:r w:rsidRPr="00F5644D">
        <w:rPr>
          <w:lang w:val="ro-RO"/>
        </w:rPr>
        <w:t>iuni</w:t>
      </w:r>
      <w:bookmarkEnd w:id="36"/>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 xml:space="preserve">Pentru a asigura o protecţie juridică eficientă împotriva supravegherii ilegale, este necesar ca avocaţii </w:t>
      </w:r>
      <w:r>
        <w:rPr>
          <w:lang w:val="ro-RO"/>
        </w:rPr>
        <w:t>ş</w:t>
      </w:r>
      <w:r w:rsidRPr="00F5644D">
        <w:rPr>
          <w:lang w:val="ro-RO"/>
        </w:rPr>
        <w:t>i clien</w:t>
      </w:r>
      <w:r>
        <w:rPr>
          <w:lang w:val="ro-RO"/>
        </w:rPr>
        <w:t>ţ</w:t>
      </w:r>
      <w:r w:rsidRPr="00F5644D">
        <w:rPr>
          <w:lang w:val="ro-RO"/>
        </w:rPr>
        <w:t>ii acestora care au făcut obiectul supravegherii ilegale să aibă la dispozi</w:t>
      </w:r>
      <w:r>
        <w:rPr>
          <w:lang w:val="ro-RO"/>
        </w:rPr>
        <w:t>ţ</w:t>
      </w:r>
      <w:r w:rsidRPr="00F5644D">
        <w:rPr>
          <w:lang w:val="ro-RO"/>
        </w:rPr>
        <w:t>ie căi de atac; mai mult, după caz, trebuie impuse sanc</w:t>
      </w:r>
      <w:r>
        <w:rPr>
          <w:lang w:val="ro-RO"/>
        </w:rPr>
        <w:t>ţ</w:t>
      </w:r>
      <w:r w:rsidRPr="00F5644D">
        <w:rPr>
          <w:lang w:val="ro-RO"/>
        </w:rPr>
        <w:t xml:space="preserve">iuni acelor persoane </w:t>
      </w:r>
      <w:r>
        <w:rPr>
          <w:lang w:val="ro-RO"/>
        </w:rPr>
        <w:t>ş</w:t>
      </w:r>
      <w:r w:rsidRPr="00F5644D">
        <w:rPr>
          <w:lang w:val="ro-RO"/>
        </w:rPr>
        <w:t>i agen</w:t>
      </w:r>
      <w:r>
        <w:rPr>
          <w:lang w:val="ro-RO"/>
        </w:rPr>
        <w:t>ţ</w:t>
      </w:r>
      <w:r w:rsidRPr="00F5644D">
        <w:rPr>
          <w:lang w:val="ro-RO"/>
        </w:rPr>
        <w:t>ii care au întreprins astfel de măsuri de supraveghere ilegale.</w:t>
      </w:r>
    </w:p>
    <w:p w:rsidR="006660B9" w:rsidRPr="00F5644D" w:rsidRDefault="006660B9" w:rsidP="003A16ED">
      <w:pPr>
        <w:pStyle w:val="Bodytext21"/>
        <w:shd w:val="clear" w:color="auto" w:fill="auto"/>
        <w:spacing w:before="240" w:line="276" w:lineRule="auto"/>
        <w:ind w:firstLine="0"/>
        <w:jc w:val="both"/>
        <w:rPr>
          <w:lang w:val="ro-RO"/>
        </w:rPr>
      </w:pPr>
      <w:r>
        <w:rPr>
          <w:lang w:val="ro-RO"/>
        </w:rPr>
        <w:t>Există un principiu stabilit printr-o hotărâre a CEDO din</w:t>
      </w:r>
      <w:r w:rsidRPr="00F5644D">
        <w:rPr>
          <w:lang w:val="ro-RO"/>
        </w:rPr>
        <w:t xml:space="preserve"> 2006 </w:t>
      </w:r>
      <w:r>
        <w:rPr>
          <w:lang w:val="ro-RO"/>
        </w:rPr>
        <w:t>care prevede ca</w:t>
      </w:r>
      <w:r w:rsidRPr="00F5644D">
        <w:rPr>
          <w:lang w:val="ro-RO"/>
        </w:rPr>
        <w:t>, cel puţin după măsurile de supraveghere au fost divulgate - să se pună la dispoziţia persoanelor în cauză şi diverse căi de atac</w:t>
      </w:r>
      <w:r w:rsidRPr="00F5644D">
        <w:rPr>
          <w:vertAlign w:val="superscript"/>
          <w:lang w:val="ro-RO"/>
        </w:rPr>
        <w:footnoteReference w:id="50"/>
      </w:r>
      <w:r w:rsidRPr="00F5644D">
        <w:rPr>
          <w:lang w:val="ro-RO"/>
        </w:rPr>
        <w:t xml:space="preserve">. </w:t>
      </w:r>
      <w:r>
        <w:rPr>
          <w:lang w:val="ro-RO"/>
        </w:rPr>
        <w:t>Astfel de căi de atac ar trebui să fie disponibile în mod egal pentru măsurile de supraveghere ilegale</w:t>
      </w:r>
      <w:r w:rsidRPr="00F5644D">
        <w:rPr>
          <w:lang w:val="ro-RO"/>
        </w:rPr>
        <w:t xml:space="preserve"> </w:t>
      </w:r>
      <w:r>
        <w:rPr>
          <w:lang w:val="ro-RO"/>
        </w:rPr>
        <w:t xml:space="preserve">atât pentru motivul că nu au fost niciodată autorizate cât şi pentru acela că supravegherea a fost </w:t>
      </w:r>
      <w:r w:rsidRPr="00F5644D">
        <w:rPr>
          <w:lang w:val="ro-RO"/>
        </w:rPr>
        <w:t xml:space="preserve"> </w:t>
      </w:r>
      <w:r>
        <w:rPr>
          <w:lang w:val="ro-RO"/>
        </w:rPr>
        <w:t>iniţial autorizată, însă a fost executată de o manieră ilegală ori autorizarea a fost</w:t>
      </w:r>
      <w:r w:rsidRPr="00F5644D">
        <w:rPr>
          <w:lang w:val="ro-RO"/>
        </w:rPr>
        <w:t xml:space="preserve"> </w:t>
      </w:r>
      <w:r>
        <w:rPr>
          <w:lang w:val="ro-RO"/>
        </w:rPr>
        <w:t>retrasă</w:t>
      </w:r>
      <w:r w:rsidRPr="00F5644D">
        <w:rPr>
          <w:lang w:val="ro-RO"/>
        </w:rPr>
        <w:t>.</w:t>
      </w:r>
    </w:p>
    <w:p w:rsidR="006660B9" w:rsidRPr="00F5644D" w:rsidRDefault="006660B9" w:rsidP="003A16ED">
      <w:pPr>
        <w:pStyle w:val="Bodytext40"/>
        <w:numPr>
          <w:ilvl w:val="1"/>
          <w:numId w:val="6"/>
        </w:numPr>
        <w:shd w:val="clear" w:color="auto" w:fill="auto"/>
        <w:spacing w:before="240" w:line="276" w:lineRule="auto"/>
        <w:rPr>
          <w:lang w:val="ro-RO"/>
        </w:rPr>
      </w:pPr>
      <w:r w:rsidRPr="00F5644D">
        <w:rPr>
          <w:lang w:val="ro-RO"/>
        </w:rPr>
        <w:t>În special, imediat ce s-a divulgat faptul că au fost aplicate măsuri de supraveghere, avoca</w:t>
      </w:r>
      <w:r>
        <w:rPr>
          <w:lang w:val="ro-RO"/>
        </w:rPr>
        <w:t>ţ</w:t>
      </w:r>
      <w:r w:rsidRPr="00F5644D">
        <w:rPr>
          <w:lang w:val="ro-RO"/>
        </w:rPr>
        <w:t xml:space="preserve">ii </w:t>
      </w:r>
      <w:r>
        <w:rPr>
          <w:lang w:val="ro-RO"/>
        </w:rPr>
        <w:t>ş</w:t>
      </w:r>
      <w:r w:rsidRPr="00F5644D">
        <w:rPr>
          <w:lang w:val="ro-RO"/>
        </w:rPr>
        <w:t>i clien</w:t>
      </w:r>
      <w:r>
        <w:rPr>
          <w:lang w:val="ro-RO"/>
        </w:rPr>
        <w:t>ţ</w:t>
      </w:r>
      <w:r w:rsidRPr="00F5644D">
        <w:rPr>
          <w:lang w:val="ro-RO"/>
        </w:rPr>
        <w:t>ii acestora au dreptul de a fi informa</w:t>
      </w:r>
      <w:r>
        <w:rPr>
          <w:lang w:val="ro-RO"/>
        </w:rPr>
        <w:t>ţ</w:t>
      </w:r>
      <w:r w:rsidRPr="00F5644D">
        <w:rPr>
          <w:lang w:val="ro-RO"/>
        </w:rPr>
        <w:t>i în legătură cu datele colectate ca rezultat al supravegherii directe sau indirecte.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Dreptul nu este restricţionat (adică nu poate fi limitat de pretinse interese de securitate ale statului) şi este opozabil oricăror autorităţi europene şi naţionale. CEDO a indicat</w:t>
      </w:r>
      <w:r w:rsidRPr="00F5644D">
        <w:rPr>
          <w:vertAlign w:val="superscript"/>
          <w:lang w:val="ro-RO"/>
        </w:rPr>
        <w:footnoteReference w:id="51"/>
      </w:r>
      <w:r w:rsidRPr="00F5644D">
        <w:rPr>
          <w:lang w:val="ro-RO"/>
        </w:rPr>
        <w:t xml:space="preserve"> că acest drept la informare este restric</w:t>
      </w:r>
      <w:r>
        <w:rPr>
          <w:lang w:val="ro-RO"/>
        </w:rPr>
        <w:t>ţ</w:t>
      </w:r>
      <w:r w:rsidRPr="00F5644D">
        <w:rPr>
          <w:lang w:val="ro-RO"/>
        </w:rPr>
        <w:t>ionat în măsura în care guvernul are dreptul de a echilibra interesele de securitate na</w:t>
      </w:r>
      <w:r>
        <w:rPr>
          <w:lang w:val="ro-RO"/>
        </w:rPr>
        <w:t>ţ</w:t>
      </w:r>
      <w:r w:rsidRPr="00F5644D">
        <w:rPr>
          <w:lang w:val="ro-RO"/>
        </w:rPr>
        <w:t>ională cu nivelul ingerin</w:t>
      </w:r>
      <w:r>
        <w:rPr>
          <w:lang w:val="ro-RO"/>
        </w:rPr>
        <w:t>ţ</w:t>
      </w:r>
      <w:r w:rsidRPr="00F5644D">
        <w:rPr>
          <w:lang w:val="ro-RO"/>
        </w:rPr>
        <w:t>ei în dreptul cetă</w:t>
      </w:r>
      <w:r>
        <w:rPr>
          <w:lang w:val="ro-RO"/>
        </w:rPr>
        <w:t>ţ</w:t>
      </w:r>
      <w:r w:rsidRPr="00F5644D">
        <w:rPr>
          <w:lang w:val="ro-RO"/>
        </w:rPr>
        <w:t>enilor la respectarea vie</w:t>
      </w:r>
      <w:r>
        <w:rPr>
          <w:lang w:val="ro-RO"/>
        </w:rPr>
        <w:t>ţ</w:t>
      </w:r>
      <w:r w:rsidRPr="00F5644D">
        <w:rPr>
          <w:lang w:val="ro-RO"/>
        </w:rPr>
        <w:t xml:space="preserve">ii private, prevăzut de articolul 8. Cu toate acestea, aşa cum este explicat şi mai sus, </w:t>
      </w:r>
      <w:r>
        <w:rPr>
          <w:lang w:val="ro-RO"/>
        </w:rPr>
        <w:t>dacă materialele obţinute prin supraveghere intră sub incidenţa</w:t>
      </w:r>
      <w:r w:rsidRPr="00F5644D">
        <w:rPr>
          <w:lang w:val="ro-RO"/>
        </w:rPr>
        <w:t xml:space="preserve"> </w:t>
      </w:r>
      <w:r>
        <w:rPr>
          <w:lang w:val="ro-RO"/>
        </w:rPr>
        <w:t>protecţiei acordate prin</w:t>
      </w:r>
      <w:r w:rsidRPr="00F5644D">
        <w:rPr>
          <w:lang w:val="ro-RO"/>
        </w:rPr>
        <w:t xml:space="preserve"> </w:t>
      </w:r>
      <w:r>
        <w:rPr>
          <w:lang w:val="ro-RO"/>
        </w:rPr>
        <w:t xml:space="preserve">articolul </w:t>
      </w:r>
      <w:r w:rsidRPr="00F5644D">
        <w:rPr>
          <w:lang w:val="ro-RO"/>
        </w:rPr>
        <w:t xml:space="preserve">6, </w:t>
      </w:r>
      <w:r>
        <w:rPr>
          <w:lang w:val="ro-RO"/>
        </w:rPr>
        <w:t>atunci nu ar trebui să existe posibilitatea unui astfel de exerciţiu de echilibrare permisibil conform</w:t>
      </w:r>
      <w:r w:rsidRPr="00F5644D">
        <w:rPr>
          <w:lang w:val="ro-RO"/>
        </w:rPr>
        <w:t xml:space="preserve"> </w:t>
      </w:r>
      <w:r>
        <w:rPr>
          <w:lang w:val="ro-RO"/>
        </w:rPr>
        <w:t xml:space="preserve">articolului </w:t>
      </w:r>
      <w:r w:rsidRPr="00F5644D">
        <w:rPr>
          <w:lang w:val="ro-RO"/>
        </w:rPr>
        <w:t>8. Spre deosebire de articolul 8, articolul 6 nu permite excepţii. Prin urmare, nu se poate pune problema acceptării unui astfel de exerci</w:t>
      </w:r>
      <w:r>
        <w:rPr>
          <w:lang w:val="ro-RO"/>
        </w:rPr>
        <w:t>ţ</w:t>
      </w:r>
      <w:r w:rsidRPr="00F5644D">
        <w:rPr>
          <w:lang w:val="ro-RO"/>
        </w:rPr>
        <w:t>iu de echilibrare în cazul în care măsura de supraveghere are în vedere dat</w:t>
      </w:r>
      <w:r>
        <w:rPr>
          <w:lang w:val="ro-RO"/>
        </w:rPr>
        <w:t>e</w:t>
      </w:r>
      <w:r w:rsidRPr="00F5644D">
        <w:rPr>
          <w:lang w:val="ro-RO"/>
        </w:rPr>
        <w:t xml:space="preserve"> privind comunicări care fac obiectul privilegiului profesiei juridice sau secretului profesional sau care intră sub inciden</w:t>
      </w:r>
      <w:r>
        <w:rPr>
          <w:lang w:val="ro-RO"/>
        </w:rPr>
        <w:t>ţ</w:t>
      </w:r>
      <w:r w:rsidRPr="00F5644D">
        <w:rPr>
          <w:lang w:val="ro-RO"/>
        </w:rPr>
        <w:t xml:space="preserve">a articolului 6. </w:t>
      </w:r>
      <w:r>
        <w:rPr>
          <w:lang w:val="ro-RO"/>
        </w:rPr>
        <w:t>Mai mult</w:t>
      </w:r>
      <w:r w:rsidRPr="00F5644D">
        <w:rPr>
          <w:lang w:val="ro-RO"/>
        </w:rPr>
        <w:t xml:space="preserve">, </w:t>
      </w:r>
      <w:r>
        <w:rPr>
          <w:lang w:val="ro-RO"/>
        </w:rPr>
        <w:t xml:space="preserve">având în vedere protecţia sporită conferită comunicărilor între avocat şi client prin articolul </w:t>
      </w:r>
      <w:r w:rsidRPr="00F5644D">
        <w:rPr>
          <w:lang w:val="ro-RO"/>
        </w:rPr>
        <w:t xml:space="preserve">8, </w:t>
      </w:r>
      <w:r>
        <w:rPr>
          <w:lang w:val="ro-RO"/>
        </w:rPr>
        <w:t>rezultatul oricărui exerciţiu de echilibrare</w:t>
      </w:r>
      <w:r w:rsidRPr="00F5644D">
        <w:rPr>
          <w:lang w:val="ro-RO"/>
        </w:rPr>
        <w:t xml:space="preserve">, </w:t>
      </w:r>
      <w:r>
        <w:rPr>
          <w:lang w:val="ro-RO"/>
        </w:rPr>
        <w:t>în principiu</w:t>
      </w:r>
      <w:r w:rsidRPr="00F5644D">
        <w:rPr>
          <w:lang w:val="ro-RO"/>
        </w:rPr>
        <w:t xml:space="preserve">, </w:t>
      </w:r>
      <w:r>
        <w:rPr>
          <w:lang w:val="ro-RO"/>
        </w:rPr>
        <w:t xml:space="preserve">nu ar trebui să fie diferit de rezultatul obţinut în urma aplicării articolului </w:t>
      </w:r>
      <w:r w:rsidRPr="00F5644D">
        <w:rPr>
          <w:lang w:val="ro-RO"/>
        </w:rPr>
        <w:t>6.</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37" w:name="bookmark17"/>
      <w:bookmarkStart w:id="38" w:name="_Toc452047496"/>
      <w:bookmarkStart w:id="39" w:name="_Toc452658692"/>
      <w:r w:rsidRPr="00F5644D">
        <w:rPr>
          <w:lang w:val="ro-RO"/>
        </w:rPr>
        <w:t>Odată ce măsurile de supraveghere devin cunoscute, avocaţii şi clienţii care au făcut obiectul acestor măsuri trebuie să aibă posibilitatea să conteste legalitatea acestor măsuri în faţa unui judecător.</w:t>
      </w:r>
      <w:bookmarkEnd w:id="37"/>
      <w:bookmarkEnd w:id="38"/>
      <w:bookmarkEnd w:id="39"/>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Cel pu</w:t>
      </w:r>
      <w:r>
        <w:rPr>
          <w:lang w:val="ro-RO"/>
        </w:rPr>
        <w:t>ţ</w:t>
      </w:r>
      <w:r w:rsidRPr="00F5644D">
        <w:rPr>
          <w:lang w:val="ro-RO"/>
        </w:rPr>
        <w:t>in următoarele măsuri ar trebui să fie disponibile:</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Măsuri de prevenţie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 xml:space="preserve">Avocaţii şi clienţii acestora ar trebui să poată solicita măsuri de prevenţie. Măsurile de prevenţie trebuie să fie disponibile atât împotriva supravegherii directe, cât şi împotriva supravegherii indirecte. Avocaţii şi clienţii acestora poate că nu sunt pe deplin conştienţi că au fost supravegheaţi. Din acest motiv, nu trebuie să fie obligaţi să dovedească faptul că au fost puşi sub supraveghere. </w:t>
      </w:r>
      <w:r>
        <w:rPr>
          <w:lang w:val="ro-RO"/>
        </w:rPr>
        <w:t>Deşi este în general valabil pentru orice formă de supraveghere</w:t>
      </w:r>
      <w:r w:rsidRPr="00F5644D">
        <w:rPr>
          <w:lang w:val="ro-RO"/>
        </w:rPr>
        <w:t xml:space="preserve">, </w:t>
      </w:r>
      <w:r>
        <w:rPr>
          <w:lang w:val="ro-RO"/>
        </w:rPr>
        <w:t>acesta poate fi cazul în special în situaţia unei supravegheri în masă</w:t>
      </w:r>
      <w:r w:rsidRPr="00F5644D">
        <w:rPr>
          <w:lang w:val="ro-RO"/>
        </w:rPr>
        <w:t xml:space="preserve">. </w:t>
      </w:r>
      <w:r>
        <w:rPr>
          <w:lang w:val="ro-RO"/>
        </w:rPr>
        <w:t xml:space="preserve">Din cauza probabilităţii ca persoana vizată să nu fie conştientă de actul supravegherii, </w:t>
      </w:r>
      <w:r w:rsidRPr="00F5644D">
        <w:rPr>
          <w:lang w:val="ro-RO"/>
        </w:rPr>
        <w:t>Comisia de la Veneţia</w:t>
      </w:r>
      <w:r w:rsidRPr="00F5644D">
        <w:rPr>
          <w:vertAlign w:val="superscript"/>
          <w:lang w:val="ro-RO"/>
        </w:rPr>
        <w:footnoteReference w:id="52"/>
      </w:r>
      <w:r w:rsidRPr="00F5644D">
        <w:rPr>
          <w:lang w:val="ro-RO"/>
        </w:rPr>
        <w:t xml:space="preserve"> a sugerat necesitatea stabilirii unei proceduri pentru sesizările generale.</w:t>
      </w:r>
    </w:p>
    <w:p w:rsidR="006660B9" w:rsidRPr="00F5644D" w:rsidRDefault="006660B9" w:rsidP="003A16ED">
      <w:pPr>
        <w:pStyle w:val="Bodytext21"/>
        <w:shd w:val="clear" w:color="auto" w:fill="auto"/>
        <w:spacing w:before="240" w:line="276" w:lineRule="auto"/>
        <w:ind w:firstLine="0"/>
        <w:jc w:val="both"/>
        <w:rPr>
          <w:lang w:val="ro-RO"/>
        </w:rPr>
      </w:pPr>
      <w:r>
        <w:rPr>
          <w:lang w:val="ro-RO"/>
        </w:rPr>
        <w:t>O astfel de abordare a fost adoptată şi de CEDO în mai multe speţe legate de măsuri de supraveghere exercitate de guvern</w:t>
      </w:r>
      <w:r w:rsidRPr="00F5644D">
        <w:rPr>
          <w:lang w:val="ro-RO"/>
        </w:rPr>
        <w:t xml:space="preserve">. </w:t>
      </w:r>
      <w:r>
        <w:rPr>
          <w:lang w:val="ro-RO"/>
        </w:rPr>
        <w:t>De exemplu</w:t>
      </w:r>
      <w:r w:rsidRPr="00F5644D">
        <w:rPr>
          <w:lang w:val="ro-RO"/>
        </w:rPr>
        <w:t xml:space="preserve">, </w:t>
      </w:r>
      <w:r>
        <w:rPr>
          <w:lang w:val="ro-RO"/>
        </w:rPr>
        <w:t>în speţele</w:t>
      </w:r>
      <w:r w:rsidRPr="00F5644D">
        <w:rPr>
          <w:lang w:val="ro-RO"/>
        </w:rPr>
        <w:t xml:space="preserve"> </w:t>
      </w:r>
      <w:r w:rsidRPr="00F5644D">
        <w:rPr>
          <w:rStyle w:val="Bodytext2Italic"/>
          <w:rFonts w:eastAsia="Arial Unicode MS"/>
          <w:lang w:val="ro-RO"/>
        </w:rPr>
        <w:t xml:space="preserve">Zhakarov </w:t>
      </w:r>
      <w:r>
        <w:rPr>
          <w:rStyle w:val="Bodytext2Italic"/>
          <w:rFonts w:eastAsia="Arial Unicode MS"/>
          <w:lang w:val="ro-RO"/>
        </w:rPr>
        <w:t>împotriva Rusiei</w:t>
      </w:r>
      <w:r w:rsidRPr="00F5644D">
        <w:rPr>
          <w:rStyle w:val="Bodytext2Italic"/>
          <w:rFonts w:eastAsia="Arial Unicode MS"/>
          <w:vertAlign w:val="superscript"/>
          <w:lang w:val="ro-RO"/>
        </w:rPr>
        <w:footnoteReference w:id="53"/>
      </w:r>
      <w:r w:rsidRPr="00F5644D">
        <w:rPr>
          <w:lang w:val="ro-RO"/>
        </w:rPr>
        <w:t xml:space="preserve"> </w:t>
      </w:r>
      <w:r>
        <w:rPr>
          <w:lang w:val="ro-RO"/>
        </w:rPr>
        <w:t>şi</w:t>
      </w:r>
      <w:r w:rsidRPr="00F5644D">
        <w:rPr>
          <w:lang w:val="ro-RO"/>
        </w:rPr>
        <w:t xml:space="preserve"> </w:t>
      </w:r>
      <w:r w:rsidRPr="00F5644D">
        <w:rPr>
          <w:rStyle w:val="Bodytext2Italic"/>
          <w:rFonts w:eastAsia="Arial Unicode MS"/>
          <w:lang w:val="ro-RO"/>
        </w:rPr>
        <w:t xml:space="preserve">Szabo </w:t>
      </w:r>
      <w:r>
        <w:rPr>
          <w:rStyle w:val="Bodytext2Italic"/>
          <w:rFonts w:eastAsia="Arial Unicode MS"/>
          <w:lang w:val="ro-RO"/>
        </w:rPr>
        <w:t>şi</w:t>
      </w:r>
      <w:r w:rsidRPr="00F5644D">
        <w:rPr>
          <w:rStyle w:val="Bodytext2Italic"/>
          <w:rFonts w:eastAsia="Arial Unicode MS"/>
          <w:lang w:val="ro-RO"/>
        </w:rPr>
        <w:t xml:space="preserve"> Vissy </w:t>
      </w:r>
      <w:r>
        <w:rPr>
          <w:rStyle w:val="Bodytext2Italic"/>
          <w:rFonts w:eastAsia="Arial Unicode MS"/>
          <w:lang w:val="ro-RO"/>
        </w:rPr>
        <w:t>împotriva Ungariei</w:t>
      </w:r>
      <w:r w:rsidRPr="00F5644D">
        <w:rPr>
          <w:rStyle w:val="Bodytext2Italic"/>
          <w:rFonts w:eastAsia="Arial Unicode MS"/>
          <w:vertAlign w:val="superscript"/>
          <w:lang w:val="ro-RO"/>
        </w:rPr>
        <w:footnoteReference w:id="54"/>
      </w:r>
      <w:r w:rsidRPr="00F5644D">
        <w:rPr>
          <w:rStyle w:val="Bodytext2Italic"/>
          <w:rFonts w:eastAsia="Arial Unicode MS"/>
          <w:lang w:val="ro-RO"/>
        </w:rPr>
        <w:t xml:space="preserve">, </w:t>
      </w:r>
      <w:r>
        <w:rPr>
          <w:lang w:val="ro-RO"/>
        </w:rPr>
        <w:t>Curtea a precizat clar că dacă ar fi existat măcar posibilitatea ca reclamanţii să fi fost afectaţi de măsurile de supraveghere</w:t>
      </w:r>
      <w:r w:rsidRPr="00F5644D">
        <w:rPr>
          <w:lang w:val="ro-RO"/>
        </w:rPr>
        <w:t xml:space="preserve">, </w:t>
      </w:r>
      <w:r>
        <w:rPr>
          <w:lang w:val="ro-RO"/>
        </w:rPr>
        <w:t>şi aceştia nu sunt suficient protejaţi de legislaţia internă</w:t>
      </w:r>
      <w:r w:rsidRPr="00F5644D">
        <w:rPr>
          <w:lang w:val="ro-RO"/>
        </w:rPr>
        <w:t xml:space="preserve">, </w:t>
      </w:r>
      <w:r>
        <w:rPr>
          <w:lang w:val="ro-RO"/>
        </w:rPr>
        <w:t>nu sunt obligaţi să demonstreze că au făcut personal obiectul unei astfel de supravegheri</w:t>
      </w:r>
      <w:r w:rsidRPr="00F5644D">
        <w:rPr>
          <w:lang w:val="ro-RO"/>
        </w:rPr>
        <w:t xml:space="preserve">. </w:t>
      </w:r>
      <w:r>
        <w:rPr>
          <w:lang w:val="ro-RO"/>
        </w:rPr>
        <w:t>Chiar şi în eventualitatea existenţei unei protecţii adecvate conferite prin legislaţia internă</w:t>
      </w:r>
      <w:r w:rsidRPr="00F5644D">
        <w:rPr>
          <w:lang w:val="ro-RO"/>
        </w:rPr>
        <w:t xml:space="preserve">, </w:t>
      </w:r>
      <w:r>
        <w:rPr>
          <w:lang w:val="ro-RO"/>
        </w:rPr>
        <w:t>CEDO suspendă condiţia preliminară de a fi fost personal afectat</w:t>
      </w:r>
      <w:r w:rsidRPr="00F5644D">
        <w:rPr>
          <w:lang w:val="ro-RO"/>
        </w:rPr>
        <w:t xml:space="preserve">. </w:t>
      </w:r>
      <w:r>
        <w:rPr>
          <w:lang w:val="ro-RO"/>
        </w:rPr>
        <w:t>Cu toate acestea</w:t>
      </w:r>
      <w:r w:rsidRPr="00F5644D">
        <w:rPr>
          <w:lang w:val="ro-RO"/>
        </w:rPr>
        <w:t xml:space="preserve">, </w:t>
      </w:r>
      <w:r>
        <w:rPr>
          <w:lang w:val="ro-RO"/>
        </w:rPr>
        <w:t>reclamantul trebuie să demonstreze că</w:t>
      </w:r>
      <w:r w:rsidRPr="00F5644D">
        <w:rPr>
          <w:lang w:val="ro-RO"/>
        </w:rPr>
        <w:t xml:space="preserve">, </w:t>
      </w:r>
      <w:r>
        <w:rPr>
          <w:lang w:val="ro-RO"/>
        </w:rPr>
        <w:t>datorită situaţiei sale personale</w:t>
      </w:r>
      <w:r w:rsidRPr="00F5644D">
        <w:rPr>
          <w:lang w:val="ro-RO"/>
        </w:rPr>
        <w:t xml:space="preserve">, </w:t>
      </w:r>
      <w:r>
        <w:rPr>
          <w:lang w:val="ro-RO"/>
        </w:rPr>
        <w:t>poate fi supus riscului de a face obiectul unor măsuri de supraveghere</w:t>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Solicitare de distrugere a datelor</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Avocaţii şi clienţii acestora ar trebui să poată solicita distrugerea oricăror date care sunt obţinute în mod ilegal. Această posibilitate este sprijinită prin declara</w:t>
      </w:r>
      <w:r>
        <w:rPr>
          <w:lang w:val="ro-RO"/>
        </w:rPr>
        <w:t>ţ</w:t>
      </w:r>
      <w:r w:rsidRPr="00F5644D">
        <w:rPr>
          <w:lang w:val="ro-RO"/>
        </w:rPr>
        <w:t xml:space="preserve">ia Comisarului </w:t>
      </w:r>
      <w:r>
        <w:rPr>
          <w:lang w:val="ro-RO"/>
        </w:rPr>
        <w:t>p</w:t>
      </w:r>
      <w:r w:rsidRPr="00F5644D">
        <w:rPr>
          <w:lang w:val="ro-RO"/>
        </w:rPr>
        <w:t xml:space="preserve">entru </w:t>
      </w:r>
      <w:r>
        <w:rPr>
          <w:lang w:val="ro-RO"/>
        </w:rPr>
        <w:t>d</w:t>
      </w:r>
      <w:r w:rsidRPr="00F5644D">
        <w:rPr>
          <w:lang w:val="ro-RO"/>
        </w:rPr>
        <w:t xml:space="preserve">repturile </w:t>
      </w:r>
      <w:r>
        <w:rPr>
          <w:lang w:val="ro-RO"/>
        </w:rPr>
        <w:t>o</w:t>
      </w:r>
      <w:r w:rsidRPr="00F5644D">
        <w:rPr>
          <w:lang w:val="ro-RO"/>
        </w:rPr>
        <w:t>mului</w:t>
      </w:r>
      <w:r w:rsidRPr="005E0459">
        <w:rPr>
          <w:lang w:val="ro-RO"/>
        </w:rPr>
        <w:t xml:space="preserve"> </w:t>
      </w:r>
      <w:r>
        <w:rPr>
          <w:lang w:val="ro-RO"/>
        </w:rPr>
        <w:t xml:space="preserve">al </w:t>
      </w:r>
      <w:r w:rsidRPr="00F5644D">
        <w:rPr>
          <w:lang w:val="ro-RO"/>
        </w:rPr>
        <w:t xml:space="preserve">Consiliului Europei </w:t>
      </w:r>
      <w:r w:rsidRPr="00F5644D">
        <w:rPr>
          <w:vertAlign w:val="superscript"/>
          <w:lang w:val="ro-RO"/>
        </w:rPr>
        <w:footnoteReference w:id="55"/>
      </w:r>
      <w:r w:rsidRPr="00F5644D">
        <w:rPr>
          <w:lang w:val="ro-RO"/>
        </w:rPr>
        <w:t>.</w:t>
      </w:r>
    </w:p>
    <w:p w:rsidR="006660B9" w:rsidRPr="00F5644D" w:rsidRDefault="006660B9" w:rsidP="003A16ED">
      <w:pPr>
        <w:pStyle w:val="Bodytext31"/>
        <w:shd w:val="clear" w:color="auto" w:fill="auto"/>
        <w:spacing w:before="240" w:line="276" w:lineRule="auto"/>
        <w:ind w:firstLine="0"/>
        <w:rPr>
          <w:lang w:val="ro-RO"/>
        </w:rPr>
      </w:pPr>
      <w:r w:rsidRPr="00F5644D">
        <w:rPr>
          <w:lang w:val="ro-RO"/>
        </w:rPr>
        <w:t>Despăgubirea pentru pagube financiare şi nefinanciare</w:t>
      </w:r>
    </w:p>
    <w:p w:rsidR="006660B9" w:rsidRPr="00F5644D" w:rsidRDefault="006660B9" w:rsidP="003A16ED">
      <w:pPr>
        <w:pStyle w:val="Bodytext21"/>
        <w:shd w:val="clear" w:color="auto" w:fill="auto"/>
        <w:spacing w:before="240" w:line="276" w:lineRule="auto"/>
        <w:ind w:firstLine="0"/>
        <w:jc w:val="both"/>
        <w:rPr>
          <w:lang w:val="ro-RO"/>
        </w:rPr>
      </w:pPr>
      <w:r w:rsidRPr="00F5644D">
        <w:rPr>
          <w:lang w:val="ro-RO"/>
        </w:rPr>
        <w:t>Avocaţii şi clienţii acestora ar trebui fie despăgubi</w:t>
      </w:r>
      <w:r>
        <w:rPr>
          <w:lang w:val="ro-RO"/>
        </w:rPr>
        <w:t>ţ</w:t>
      </w:r>
      <w:r w:rsidRPr="00F5644D">
        <w:rPr>
          <w:lang w:val="ro-RO"/>
        </w:rPr>
        <w:t>i pentru orice pagube financiare cauzate de activităţi de supraveghere nelegală. În plus, ar trebui fie despăgubi</w:t>
      </w:r>
      <w:r>
        <w:rPr>
          <w:lang w:val="ro-RO"/>
        </w:rPr>
        <w:t>ţ</w:t>
      </w:r>
      <w:r w:rsidRPr="00F5644D">
        <w:rPr>
          <w:lang w:val="ro-RO"/>
        </w:rPr>
        <w:t xml:space="preserve">i </w:t>
      </w:r>
      <w:r>
        <w:rPr>
          <w:lang w:val="ro-RO"/>
        </w:rPr>
        <w:t>ş</w:t>
      </w:r>
      <w:r w:rsidRPr="00F5644D">
        <w:rPr>
          <w:lang w:val="ro-RO"/>
        </w:rPr>
        <w:t>i pentru pagubele nefinanciare pe care le pot stabili. Acest principiu respectă jurisprudenţa CEDO, care în 2015</w:t>
      </w:r>
      <w:r w:rsidRPr="00F5644D">
        <w:rPr>
          <w:vertAlign w:val="superscript"/>
          <w:lang w:val="ro-RO"/>
        </w:rPr>
        <w:footnoteReference w:id="56"/>
      </w:r>
      <w:r w:rsidRPr="00F5644D">
        <w:rPr>
          <w:lang w:val="ro-RO"/>
        </w:rPr>
        <w:t xml:space="preserve"> a acordat suma de 4.500 euro ca justă satisfacţie (pentru ‘prejudicii morale’) unui avocat bulgar specializat în cauze penale ale cărui comunicări cu clientul său fuseseră interceptate.</w:t>
      </w:r>
    </w:p>
    <w:p w:rsidR="006660B9" w:rsidRPr="00F5644D" w:rsidRDefault="006660B9" w:rsidP="003A16ED">
      <w:pPr>
        <w:pStyle w:val="Heading10"/>
        <w:keepNext/>
        <w:keepLines/>
        <w:numPr>
          <w:ilvl w:val="1"/>
          <w:numId w:val="6"/>
        </w:numPr>
        <w:shd w:val="clear" w:color="auto" w:fill="auto"/>
        <w:spacing w:before="240" w:line="276" w:lineRule="auto"/>
        <w:rPr>
          <w:lang w:val="ro-RO"/>
        </w:rPr>
      </w:pPr>
      <w:bookmarkStart w:id="40" w:name="bookmark18"/>
      <w:bookmarkStart w:id="41" w:name="_Toc452047497"/>
      <w:bookmarkStart w:id="42" w:name="_Toc452658693"/>
      <w:r>
        <w:rPr>
          <w:lang w:val="ro-RO"/>
        </w:rPr>
        <w:t>Toate autorităţile guvernamentale în cazul cărora s-a constatat că au efectuat activităţi de supraveghere ilegale ar trebui să fie pasibile de impunerea unor sancţiuni</w:t>
      </w:r>
      <w:r w:rsidRPr="00F5644D">
        <w:rPr>
          <w:lang w:val="ro-RO"/>
        </w:rPr>
        <w:t>.</w:t>
      </w:r>
      <w:bookmarkEnd w:id="40"/>
      <w:bookmarkEnd w:id="41"/>
      <w:bookmarkEnd w:id="42"/>
    </w:p>
    <w:p w:rsidR="006660B9" w:rsidRPr="00F5644D" w:rsidRDefault="006660B9" w:rsidP="003A16ED">
      <w:pPr>
        <w:pStyle w:val="Bodytext21"/>
        <w:shd w:val="clear" w:color="auto" w:fill="auto"/>
        <w:spacing w:before="240" w:line="276" w:lineRule="auto"/>
        <w:ind w:firstLine="0"/>
        <w:jc w:val="both"/>
        <w:rPr>
          <w:lang w:val="ro-RO"/>
        </w:rPr>
      </w:pPr>
      <w:r>
        <w:rPr>
          <w:lang w:val="ro-RO"/>
        </w:rPr>
        <w:t>Este necesar un sistem cuprinzător şi eficient de sancţiuni, pentru a descuraja posibile încălcări în viitor</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În ceea ce priveşte supravegherea digitală, în special,</w:t>
      </w:r>
      <w:r w:rsidRPr="00F5644D">
        <w:rPr>
          <w:lang w:val="ro-RO"/>
        </w:rPr>
        <w:t xml:space="preserve"> </w:t>
      </w:r>
      <w:r>
        <w:rPr>
          <w:lang w:val="ro-RO"/>
        </w:rPr>
        <w:t xml:space="preserve">în conformitate cu Decizia-cadru a Consiliului </w:t>
      </w:r>
      <w:r w:rsidRPr="00F5644D">
        <w:rPr>
          <w:lang w:val="ro-RO"/>
        </w:rPr>
        <w:t>2005/222/</w:t>
      </w:r>
      <w:r>
        <w:rPr>
          <w:lang w:val="ro-RO"/>
        </w:rPr>
        <w:t>JAI</w:t>
      </w:r>
      <w:r w:rsidRPr="00F5644D">
        <w:rPr>
          <w:lang w:val="ro-RO"/>
        </w:rPr>
        <w:t xml:space="preserve"> </w:t>
      </w:r>
      <w:r>
        <w:rPr>
          <w:lang w:val="ro-RO"/>
        </w:rPr>
        <w:t xml:space="preserve">din </w:t>
      </w:r>
      <w:r w:rsidRPr="00F5644D">
        <w:rPr>
          <w:lang w:val="ro-RO"/>
        </w:rPr>
        <w:t xml:space="preserve">24 </w:t>
      </w:r>
      <w:r>
        <w:rPr>
          <w:lang w:val="ro-RO"/>
        </w:rPr>
        <w:t>februarie</w:t>
      </w:r>
      <w:r w:rsidRPr="00F5644D">
        <w:rPr>
          <w:lang w:val="ro-RO"/>
        </w:rPr>
        <w:t xml:space="preserve"> 2005 </w:t>
      </w:r>
      <w:r>
        <w:rPr>
          <w:lang w:val="ro-RO"/>
        </w:rPr>
        <w:t>privind atacurile împotriva sistemelor informatice</w:t>
      </w:r>
      <w:r w:rsidRPr="00F5644D">
        <w:rPr>
          <w:lang w:val="ro-RO"/>
        </w:rPr>
        <w:t xml:space="preserve">, </w:t>
      </w:r>
      <w:r>
        <w:rPr>
          <w:lang w:val="ro-RO"/>
        </w:rPr>
        <w:t>fiecare stat membru ar trebui să fi implementat un sistem care include mai multe tipuri de infracţiuni, pentru a acoperi diferitele metode de supraveghere ilegală</w:t>
      </w:r>
      <w:r w:rsidRPr="00F5644D">
        <w:rPr>
          <w:lang w:val="ro-RO"/>
        </w:rPr>
        <w:t xml:space="preserve">. </w:t>
      </w:r>
      <w:r>
        <w:rPr>
          <w:lang w:val="ro-RO"/>
        </w:rPr>
        <w:t>Decizia-cadru a Consiliului permite anumite excepţii în cadrul reglementărilor interne</w:t>
      </w:r>
      <w:r w:rsidRPr="00F5644D">
        <w:rPr>
          <w:lang w:val="ro-RO"/>
        </w:rPr>
        <w:t xml:space="preserve">, </w:t>
      </w:r>
      <w:r>
        <w:rPr>
          <w:lang w:val="ro-RO"/>
        </w:rPr>
        <w:t>în special pentru cazurile minore</w:t>
      </w:r>
      <w:r w:rsidRPr="00F5644D">
        <w:rPr>
          <w:lang w:val="ro-RO"/>
        </w:rPr>
        <w:t xml:space="preserve">. </w:t>
      </w:r>
      <w:r>
        <w:rPr>
          <w:lang w:val="ro-RO"/>
        </w:rPr>
        <w:t>Opinia CCBE</w:t>
      </w:r>
      <w:r w:rsidRPr="00F5644D">
        <w:rPr>
          <w:lang w:val="ro-RO"/>
        </w:rPr>
        <w:t xml:space="preserve"> </w:t>
      </w:r>
      <w:r>
        <w:rPr>
          <w:lang w:val="ro-RO"/>
        </w:rPr>
        <w:t>este că astfel de excepţii nu sunt aplicabile supravegherii comunicărilor cu avocatul, deoarece, prin definiţie, acestea nu pot constitui cazuri minore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În consecinţă</w:t>
      </w:r>
      <w:r w:rsidRPr="00F5644D">
        <w:rPr>
          <w:lang w:val="ro-RO"/>
        </w:rPr>
        <w:t xml:space="preserve">, </w:t>
      </w:r>
      <w:r>
        <w:rPr>
          <w:lang w:val="ro-RO"/>
        </w:rPr>
        <w:t>orice măsură de supraveghere ilegală prin care se încalcă</w:t>
      </w:r>
      <w:r w:rsidRPr="00F5644D">
        <w:rPr>
          <w:lang w:val="ro-RO"/>
        </w:rPr>
        <w:t xml:space="preserve"> </w:t>
      </w:r>
      <w:r>
        <w:rPr>
          <w:lang w:val="ro-RO"/>
        </w:rPr>
        <w:t>privilegiul profesiei juridice sau secretul profesional ar trebui să fie susceptibilă de sancţiuni penale sau de alte sancţiuni adecvate</w:t>
      </w:r>
      <w:r w:rsidRPr="00F5644D">
        <w:rPr>
          <w:lang w:val="ro-RO"/>
        </w:rPr>
        <w:t>.</w:t>
      </w:r>
    </w:p>
    <w:p w:rsidR="006660B9" w:rsidRPr="00F5644D" w:rsidRDefault="006660B9" w:rsidP="003A16ED">
      <w:pPr>
        <w:pStyle w:val="Heading10"/>
        <w:keepNext/>
        <w:keepLines/>
        <w:shd w:val="clear" w:color="auto" w:fill="auto"/>
        <w:spacing w:before="240" w:line="276" w:lineRule="auto"/>
        <w:rPr>
          <w:lang w:val="ro-RO"/>
        </w:rPr>
      </w:pPr>
      <w:bookmarkStart w:id="43" w:name="_Toc452658694"/>
      <w:r>
        <w:rPr>
          <w:lang w:val="ro-RO"/>
        </w:rPr>
        <w:t>CONCLUZIE</w:t>
      </w:r>
      <w:bookmarkEnd w:id="43"/>
    </w:p>
    <w:p w:rsidR="006660B9" w:rsidRPr="00F5644D" w:rsidRDefault="006660B9" w:rsidP="003A16ED">
      <w:pPr>
        <w:pStyle w:val="Bodytext40"/>
        <w:shd w:val="clear" w:color="auto" w:fill="auto"/>
        <w:spacing w:before="240" w:line="276" w:lineRule="auto"/>
        <w:rPr>
          <w:lang w:val="ro-RO"/>
        </w:rPr>
      </w:pPr>
      <w:r>
        <w:rPr>
          <w:lang w:val="ro-RO"/>
        </w:rPr>
        <w:t>În timp ce se apreciază că este obligaţia statului faţă de cetăţenii săi să le asigure acestora siguranţa şi securitatea</w:t>
      </w:r>
      <w:r w:rsidRPr="00F5644D">
        <w:rPr>
          <w:lang w:val="ro-RO"/>
        </w:rPr>
        <w:t xml:space="preserve">, </w:t>
      </w:r>
      <w:r>
        <w:rPr>
          <w:lang w:val="ro-RO"/>
        </w:rPr>
        <w:t>privilegiul profesiei juridice şi secretul profesional constituie</w:t>
      </w:r>
      <w:r w:rsidRPr="00F5644D">
        <w:rPr>
          <w:lang w:val="ro-RO"/>
        </w:rPr>
        <w:t xml:space="preserve"> </w:t>
      </w:r>
      <w:r>
        <w:rPr>
          <w:lang w:val="ro-RO"/>
        </w:rPr>
        <w:t>componente fundamentale ale statului de drept</w:t>
      </w:r>
      <w:r w:rsidRPr="00F5644D">
        <w:rPr>
          <w:lang w:val="ro-RO"/>
        </w:rPr>
        <w:t xml:space="preserve">. </w:t>
      </w:r>
      <w:r>
        <w:rPr>
          <w:lang w:val="ro-RO"/>
        </w:rPr>
        <w:t>Atunci când statul vizează abrogarea sau erodarea principiilor privilegiului profesiei juridice şi secretului profesional</w:t>
      </w:r>
      <w:r w:rsidRPr="00F5644D">
        <w:rPr>
          <w:lang w:val="ro-RO"/>
        </w:rPr>
        <w:t xml:space="preserve">, </w:t>
      </w:r>
      <w:r>
        <w:rPr>
          <w:lang w:val="ro-RO"/>
        </w:rPr>
        <w:t>chiar şi în numele securităţii naţionale</w:t>
      </w:r>
      <w:r w:rsidRPr="00F5644D">
        <w:rPr>
          <w:lang w:val="ro-RO"/>
        </w:rPr>
        <w:t xml:space="preserve">, </w:t>
      </w:r>
      <w:r>
        <w:rPr>
          <w:lang w:val="ro-RO"/>
        </w:rPr>
        <w:t>acesta constituie un atac împotriva statului de drept însuşi</w:t>
      </w:r>
      <w:r w:rsidRPr="00F5644D">
        <w:rPr>
          <w:lang w:val="ro-RO"/>
        </w:rPr>
        <w:t>.</w:t>
      </w:r>
    </w:p>
    <w:p w:rsidR="006660B9" w:rsidRPr="00F5644D" w:rsidRDefault="006660B9" w:rsidP="003A16ED">
      <w:pPr>
        <w:pStyle w:val="Bodytext40"/>
        <w:shd w:val="clear" w:color="auto" w:fill="auto"/>
        <w:spacing w:before="240" w:line="276" w:lineRule="auto"/>
        <w:rPr>
          <w:lang w:val="ro-RO"/>
        </w:rPr>
      </w:pPr>
      <w:r>
        <w:rPr>
          <w:lang w:val="ro-RO"/>
        </w:rPr>
        <w:t>Cu toate acestea</w:t>
      </w:r>
      <w:r w:rsidRPr="00F5644D">
        <w:rPr>
          <w:lang w:val="ro-RO"/>
        </w:rPr>
        <w:t xml:space="preserve">, </w:t>
      </w:r>
      <w:r>
        <w:rPr>
          <w:lang w:val="ro-RO"/>
        </w:rPr>
        <w:t>presupusul conflict între imperativul protejării securităţii naţionale, pe de o parte</w:t>
      </w:r>
      <w:r w:rsidRPr="00F5644D">
        <w:rPr>
          <w:lang w:val="ro-RO"/>
        </w:rPr>
        <w:t xml:space="preserve">, </w:t>
      </w:r>
      <w:r>
        <w:rPr>
          <w:lang w:val="ro-RO"/>
        </w:rPr>
        <w:t>şi apărarea privilegiului profesiei juridice şi secretului profesional, pe de altă parte, este iluzoriu</w:t>
      </w:r>
      <w:r w:rsidRPr="00F5644D">
        <w:rPr>
          <w:lang w:val="ro-RO"/>
        </w:rPr>
        <w:t xml:space="preserve">. </w:t>
      </w:r>
      <w:r>
        <w:rPr>
          <w:lang w:val="ro-RO"/>
        </w:rPr>
        <w:t>Ambele pot coexista ca elemente esenţiale într-o societate democratică matură şi pe deplin funcţională, care funcţionează în conformitate cu principiile statului de drept</w:t>
      </w:r>
      <w:r w:rsidRPr="00F5644D">
        <w:rPr>
          <w:lang w:val="ro-RO"/>
        </w:rPr>
        <w:t xml:space="preserve">. </w:t>
      </w:r>
      <w:r>
        <w:rPr>
          <w:lang w:val="ro-RO"/>
        </w:rPr>
        <w:t>Scopul prezentului document a fost să indice cu claritate cum poate fi realizat acest deziderat</w:t>
      </w:r>
      <w:r w:rsidRPr="00F5644D">
        <w:rPr>
          <w:lang w:val="ro-RO"/>
        </w:rPr>
        <w:t>.</w:t>
      </w:r>
    </w:p>
    <w:p w:rsidR="006660B9" w:rsidRPr="00F5644D" w:rsidRDefault="006660B9" w:rsidP="003A16ED">
      <w:pPr>
        <w:pStyle w:val="Heading10"/>
        <w:keepNext/>
        <w:keepLines/>
        <w:shd w:val="clear" w:color="auto" w:fill="auto"/>
        <w:spacing w:before="240" w:line="276" w:lineRule="auto"/>
        <w:rPr>
          <w:lang w:val="ro-RO"/>
        </w:rPr>
      </w:pPr>
      <w:bookmarkStart w:id="44" w:name="_Toc452658695"/>
      <w:r>
        <w:rPr>
          <w:lang w:val="ro-RO"/>
        </w:rPr>
        <w:t>Evoluţie</w:t>
      </w:r>
      <w:r w:rsidRPr="00F5644D">
        <w:rPr>
          <w:lang w:val="ro-RO"/>
        </w:rPr>
        <w:t xml:space="preserve"> </w:t>
      </w:r>
      <w:r>
        <w:rPr>
          <w:lang w:val="ro-RO"/>
        </w:rPr>
        <w:t>–</w:t>
      </w:r>
      <w:r w:rsidRPr="00F5644D">
        <w:rPr>
          <w:lang w:val="ro-RO"/>
        </w:rPr>
        <w:t xml:space="preserve"> </w:t>
      </w:r>
      <w:r>
        <w:rPr>
          <w:lang w:val="ro-RO"/>
        </w:rPr>
        <w:t xml:space="preserve">Acţiuni </w:t>
      </w:r>
      <w:r w:rsidRPr="00F5644D">
        <w:rPr>
          <w:lang w:val="ro-RO"/>
        </w:rPr>
        <w:t xml:space="preserve">CCBE </w:t>
      </w:r>
      <w:r>
        <w:rPr>
          <w:lang w:val="ro-RO"/>
        </w:rPr>
        <w:t>în legătură cu supravegherea</w:t>
      </w:r>
      <w:bookmarkEnd w:id="44"/>
    </w:p>
    <w:p w:rsidR="006660B9" w:rsidRPr="00F5644D" w:rsidRDefault="006660B9" w:rsidP="003A16ED">
      <w:pPr>
        <w:pStyle w:val="Bodytext21"/>
        <w:shd w:val="clear" w:color="auto" w:fill="auto"/>
        <w:spacing w:before="240" w:line="276" w:lineRule="auto"/>
        <w:ind w:firstLine="0"/>
        <w:jc w:val="both"/>
        <w:rPr>
          <w:lang w:val="ro-RO"/>
        </w:rPr>
      </w:pPr>
      <w:r>
        <w:rPr>
          <w:lang w:val="ro-RO"/>
        </w:rPr>
        <w:t>Încă de la dezvăluirile lui</w:t>
      </w:r>
      <w:r w:rsidRPr="00F5644D">
        <w:rPr>
          <w:lang w:val="ro-RO"/>
        </w:rPr>
        <w:t xml:space="preserve"> Snowden </w:t>
      </w:r>
      <w:r>
        <w:rPr>
          <w:lang w:val="ro-RO"/>
        </w:rPr>
        <w:t xml:space="preserve">din </w:t>
      </w:r>
      <w:r w:rsidRPr="00F5644D">
        <w:rPr>
          <w:lang w:val="ro-RO"/>
        </w:rPr>
        <w:t xml:space="preserve">2013, CCBE </w:t>
      </w:r>
      <w:r>
        <w:rPr>
          <w:lang w:val="ro-RO"/>
        </w:rPr>
        <w:t>a dat publicităţii declaraţii</w:t>
      </w:r>
      <w:r w:rsidRPr="00F5644D">
        <w:rPr>
          <w:lang w:val="ro-RO"/>
        </w:rPr>
        <w:t xml:space="preserve">, </w:t>
      </w:r>
      <w:r>
        <w:rPr>
          <w:lang w:val="ro-RO"/>
        </w:rPr>
        <w:t>studii şi scrisori pentru a denunţa încălcări ale secretului profesional de către state şi organisme guvernamentale care desfăşoară activităţi ilegale de supraveghere</w:t>
      </w:r>
      <w:r w:rsidRPr="00F5644D">
        <w:rPr>
          <w:lang w:val="ro-RO"/>
        </w:rPr>
        <w:t>.</w:t>
      </w:r>
    </w:p>
    <w:p w:rsidR="006660B9" w:rsidRPr="00F5644D" w:rsidRDefault="006660B9" w:rsidP="003A16ED">
      <w:pPr>
        <w:pStyle w:val="Bodytext21"/>
        <w:shd w:val="clear" w:color="auto" w:fill="auto"/>
        <w:spacing w:before="240" w:line="276" w:lineRule="auto"/>
        <w:ind w:firstLine="0"/>
        <w:jc w:val="both"/>
        <w:rPr>
          <w:lang w:val="ro-RO"/>
        </w:rPr>
      </w:pPr>
      <w:r>
        <w:rPr>
          <w:lang w:val="ro-RO"/>
        </w:rPr>
        <w:t>La începutul lunii iulie</w:t>
      </w:r>
      <w:r w:rsidRPr="00F5644D">
        <w:rPr>
          <w:lang w:val="ro-RO"/>
        </w:rPr>
        <w:t xml:space="preserve"> 2013, CCBE </w:t>
      </w:r>
      <w:r>
        <w:rPr>
          <w:lang w:val="ro-RO"/>
        </w:rPr>
        <w:t>a dat publicităţii prima sa</w:t>
      </w:r>
      <w:hyperlink r:id="rId14" w:history="1">
        <w:r w:rsidRPr="00F5644D">
          <w:rPr>
            <w:lang w:val="ro-RO"/>
          </w:rPr>
          <w:t xml:space="preserve"> </w:t>
        </w:r>
        <w:r>
          <w:rPr>
            <w:rStyle w:val="Bodytext20"/>
            <w:rFonts w:eastAsia="Arial Unicode MS"/>
            <w:lang w:val="ro-RO"/>
          </w:rPr>
          <w:t>declaraţie</w:t>
        </w:r>
        <w:r w:rsidRPr="00F5644D">
          <w:rPr>
            <w:rStyle w:val="Bodytext22"/>
            <w:rFonts w:eastAsia="Arial Unicode MS"/>
            <w:lang w:val="ro-RO"/>
          </w:rPr>
          <w:t xml:space="preserve"> </w:t>
        </w:r>
      </w:hyperlink>
      <w:r>
        <w:rPr>
          <w:lang w:val="ro-RO"/>
        </w:rPr>
        <w:t>prin care denunţa ameninţarea reprezentată de organele de stat învestite cu competenţe de anchetă</w:t>
      </w:r>
      <w:r w:rsidRPr="00196490">
        <w:rPr>
          <w:lang w:val="ro-RO"/>
        </w:rPr>
        <w:t xml:space="preserve"> </w:t>
      </w:r>
      <w:r>
        <w:rPr>
          <w:lang w:val="ro-RO"/>
        </w:rPr>
        <w:t>secrete, care dispun de tehnologii complexe de interceptare</w:t>
      </w:r>
      <w:r w:rsidRPr="00F5644D">
        <w:rPr>
          <w:lang w:val="ro-RO"/>
        </w:rPr>
        <w:t>.</w:t>
      </w:r>
    </w:p>
    <w:p w:rsidR="006660B9" w:rsidRPr="00196490" w:rsidRDefault="006660B9" w:rsidP="003A16ED">
      <w:pPr>
        <w:pStyle w:val="Bodytext21"/>
        <w:shd w:val="clear" w:color="auto" w:fill="auto"/>
        <w:spacing w:before="240" w:line="276" w:lineRule="auto"/>
        <w:ind w:firstLine="0"/>
        <w:jc w:val="both"/>
        <w:rPr>
          <w:lang w:val="ro-RO"/>
        </w:rPr>
      </w:pPr>
      <w:r w:rsidRPr="00196490">
        <w:rPr>
          <w:lang w:val="ro-RO"/>
        </w:rPr>
        <w:t xml:space="preserve">În luna octombrie 2013, CCBE </w:t>
      </w:r>
      <w:r>
        <w:rPr>
          <w:lang w:val="ro-RO"/>
        </w:rPr>
        <w:t>ş</w:t>
      </w:r>
      <w:r w:rsidRPr="00196490">
        <w:rPr>
          <w:lang w:val="ro-RO"/>
        </w:rPr>
        <w:t>i-a definit primele</w:t>
      </w:r>
      <w:hyperlink r:id="rId15" w:history="1">
        <w:r w:rsidRPr="00196490">
          <w:rPr>
            <w:lang w:val="ro-RO"/>
          </w:rPr>
          <w:t xml:space="preserve"> </w:t>
        </w:r>
        <w:r w:rsidRPr="00196490">
          <w:rPr>
            <w:rStyle w:val="Bodytext20"/>
            <w:rFonts w:eastAsia="Arial Unicode MS"/>
            <w:lang w:val="ro-RO"/>
          </w:rPr>
          <w:t>recomandări</w:t>
        </w:r>
        <w:r w:rsidRPr="00196490">
          <w:rPr>
            <w:rStyle w:val="Bodytext22"/>
            <w:rFonts w:eastAsia="Arial Unicode MS"/>
            <w:lang w:val="ro-RO"/>
          </w:rPr>
          <w:t xml:space="preserve"> </w:t>
        </w:r>
      </w:hyperlink>
      <w:r w:rsidRPr="00196490">
        <w:rPr>
          <w:lang w:val="ro-RO"/>
        </w:rPr>
        <w:t>pr</w:t>
      </w:r>
      <w:r>
        <w:rPr>
          <w:lang w:val="ro-RO"/>
        </w:rPr>
        <w:t>ivind apărarea secretului profe</w:t>
      </w:r>
      <w:r w:rsidRPr="00196490">
        <w:rPr>
          <w:lang w:val="ro-RO"/>
        </w:rPr>
        <w:t>sional împotriva supravegherii guvernamentale.</w:t>
      </w:r>
    </w:p>
    <w:p w:rsidR="006660B9" w:rsidRPr="00196490" w:rsidRDefault="006660B9" w:rsidP="003A16ED">
      <w:pPr>
        <w:pStyle w:val="Bodytext21"/>
        <w:shd w:val="clear" w:color="auto" w:fill="auto"/>
        <w:spacing w:before="240" w:line="276" w:lineRule="auto"/>
        <w:ind w:firstLine="0"/>
        <w:jc w:val="both"/>
        <w:rPr>
          <w:lang w:val="ro-RO"/>
        </w:rPr>
      </w:pPr>
      <w:r w:rsidRPr="00196490">
        <w:rPr>
          <w:lang w:val="ro-RO"/>
        </w:rPr>
        <w:t xml:space="preserve">În luna </w:t>
      </w:r>
      <w:r>
        <w:rPr>
          <w:lang w:val="ro-RO"/>
        </w:rPr>
        <w:t>decembrie</w:t>
      </w:r>
      <w:r w:rsidRPr="00196490">
        <w:rPr>
          <w:lang w:val="ro-RO"/>
        </w:rPr>
        <w:t xml:space="preserve"> 2013, CCBE </w:t>
      </w:r>
      <w:r>
        <w:rPr>
          <w:lang w:val="ro-RO"/>
        </w:rPr>
        <w:t>a participat la ancheta Comisiei LIBE</w:t>
      </w:r>
      <w:r w:rsidRPr="00196490">
        <w:rPr>
          <w:lang w:val="ro-RO"/>
        </w:rPr>
        <w:t xml:space="preserve"> </w:t>
      </w:r>
      <w:r>
        <w:rPr>
          <w:lang w:val="ro-RO"/>
        </w:rPr>
        <w:t>cu privire la supravegherea electronică în masă a cetăţenilor europeni</w:t>
      </w:r>
      <w:r w:rsidRPr="00196490">
        <w:rPr>
          <w:lang w:val="ro-RO"/>
        </w:rPr>
        <w:t xml:space="preserve">. </w:t>
      </w:r>
      <w:r>
        <w:rPr>
          <w:lang w:val="ro-RO"/>
        </w:rPr>
        <w:t>În urma unei anchete care a durat şase luni</w:t>
      </w:r>
      <w:r w:rsidRPr="00196490">
        <w:rPr>
          <w:lang w:val="ro-RO"/>
        </w:rPr>
        <w:t xml:space="preserve">, </w:t>
      </w:r>
      <w:r>
        <w:rPr>
          <w:lang w:val="ro-RO"/>
        </w:rPr>
        <w:t>în luna martie 2014, Parlamentul European a adoptat o</w:t>
      </w:r>
      <w:hyperlink r:id="rId16" w:history="1">
        <w:r w:rsidRPr="00196490">
          <w:rPr>
            <w:lang w:val="ro-RO"/>
          </w:rPr>
          <w:t xml:space="preserve"> </w:t>
        </w:r>
        <w:r>
          <w:rPr>
            <w:rStyle w:val="Bodytext20"/>
            <w:rFonts w:eastAsia="Arial Unicode MS"/>
            <w:lang w:val="ro-RO"/>
          </w:rPr>
          <w:t>rezoluţie</w:t>
        </w:r>
        <w:r w:rsidRPr="00196490">
          <w:rPr>
            <w:rStyle w:val="Bodytext22"/>
            <w:rFonts w:eastAsia="Arial Unicode MS"/>
            <w:lang w:val="ro-RO"/>
          </w:rPr>
          <w:t xml:space="preserve"> </w:t>
        </w:r>
      </w:hyperlink>
      <w:r>
        <w:rPr>
          <w:lang w:val="ro-RO"/>
        </w:rPr>
        <w:t>în care concluziona, printre altele, că</w:t>
      </w:r>
      <w:r w:rsidRPr="00196490">
        <w:rPr>
          <w:lang w:val="ro-RO"/>
        </w:rPr>
        <w:t xml:space="preserve"> </w:t>
      </w:r>
      <w:r>
        <w:rPr>
          <w:lang w:val="ro-RO"/>
        </w:rPr>
        <w:t xml:space="preserve">este </w:t>
      </w:r>
      <w:r w:rsidRPr="00196490">
        <w:rPr>
          <w:rStyle w:val="Bodytext2Italic"/>
          <w:rFonts w:eastAsia="Arial Unicode MS"/>
          <w:lang w:val="ro-RO"/>
        </w:rPr>
        <w:t>“</w:t>
      </w:r>
      <w:r>
        <w:rPr>
          <w:rStyle w:val="Bodytext2Italic"/>
          <w:rFonts w:eastAsia="Arial Unicode MS"/>
          <w:lang w:val="ro-RO"/>
        </w:rPr>
        <w:t>esenţial ca privilegiul confidenţialităţii profesionale a avocaţilor</w:t>
      </w:r>
      <w:r w:rsidRPr="00196490">
        <w:rPr>
          <w:rStyle w:val="Bodytext2Italic"/>
          <w:rFonts w:eastAsia="Arial Unicode MS"/>
          <w:lang w:val="ro-RO"/>
        </w:rPr>
        <w:t xml:space="preserve"> [...] </w:t>
      </w:r>
      <w:r>
        <w:rPr>
          <w:rStyle w:val="Bodytext2Italic"/>
          <w:rFonts w:eastAsia="Arial Unicode MS"/>
          <w:lang w:val="ro-RO"/>
        </w:rPr>
        <w:t>să fie apărat împotriva activităţilor de supraveghere în masă</w:t>
      </w:r>
      <w:r w:rsidRPr="00196490">
        <w:rPr>
          <w:rStyle w:val="Bodytext2Italic"/>
          <w:rFonts w:eastAsia="Arial Unicode MS"/>
          <w:lang w:val="ro-RO"/>
        </w:rPr>
        <w:t>"</w:t>
      </w:r>
      <w:r w:rsidRPr="00196490">
        <w:rPr>
          <w:lang w:val="ro-RO"/>
        </w:rPr>
        <w:t xml:space="preserve"> </w:t>
      </w:r>
      <w:r>
        <w:rPr>
          <w:lang w:val="ro-RO"/>
        </w:rPr>
        <w:t>şi</w:t>
      </w:r>
      <w:r w:rsidRPr="00196490">
        <w:rPr>
          <w:lang w:val="ro-RO"/>
        </w:rPr>
        <w:t xml:space="preserve"> “</w:t>
      </w:r>
      <w:r>
        <w:rPr>
          <w:i/>
          <w:lang w:val="ro-RO"/>
        </w:rPr>
        <w:t>orice</w:t>
      </w:r>
      <w:r w:rsidRPr="00196490">
        <w:rPr>
          <w:lang w:val="ro-RO"/>
        </w:rPr>
        <w:t xml:space="preserve"> </w:t>
      </w:r>
      <w:r>
        <w:rPr>
          <w:rStyle w:val="Bodytext2Italic"/>
          <w:rFonts w:eastAsia="Arial Unicode MS"/>
          <w:lang w:val="ro-RO"/>
        </w:rPr>
        <w:t>incertitudine legată de confidenţialitatea comunicărilor între avocaţi şi clienţii acestora ar putea avea un impact negativ asupra dreptului cetăţenilor UE de acces la consiliere juridică şi acces la justiţie şi a dreptului la un proces echitabil</w:t>
      </w:r>
      <w:r w:rsidRPr="00196490">
        <w:rPr>
          <w:rStyle w:val="Bodytext2Italic"/>
          <w:rFonts w:eastAsia="Arial Unicode MS"/>
          <w:lang w:val="ro-RO"/>
        </w:rPr>
        <w:t>."</w:t>
      </w:r>
      <w:r w:rsidRPr="00196490">
        <w:rPr>
          <w:lang w:val="ro-RO"/>
        </w:rPr>
        <w:t xml:space="preserve"> </w:t>
      </w:r>
      <w:r>
        <w:rPr>
          <w:lang w:val="ro-RO"/>
        </w:rPr>
        <w:t>Aceeaşi rezoluţie propune şi introducerea</w:t>
      </w:r>
      <w:r w:rsidRPr="00196490">
        <w:rPr>
          <w:lang w:val="ro-RO"/>
        </w:rPr>
        <w:t xml:space="preserve"> </w:t>
      </w:r>
      <w:r>
        <w:rPr>
          <w:lang w:val="ro-RO"/>
        </w:rPr>
        <w:t xml:space="preserve">unui </w:t>
      </w:r>
      <w:r w:rsidRPr="00196490">
        <w:rPr>
          <w:lang w:val="ro-RO"/>
        </w:rPr>
        <w:t>“</w:t>
      </w:r>
      <w:r w:rsidRPr="00196490">
        <w:rPr>
          <w:rStyle w:val="Bodytext2Italic"/>
          <w:rFonts w:eastAsia="Arial Unicode MS"/>
          <w:lang w:val="ro-RO"/>
        </w:rPr>
        <w:t>Habeas Corpus</w:t>
      </w:r>
      <w:r w:rsidRPr="001A6C7C">
        <w:rPr>
          <w:lang w:val="ro-RO"/>
        </w:rPr>
        <w:t xml:space="preserve"> </w:t>
      </w:r>
      <w:r w:rsidRPr="00196490">
        <w:rPr>
          <w:lang w:val="ro-RO"/>
        </w:rPr>
        <w:t>Digital</w:t>
      </w:r>
      <w:r w:rsidRPr="00196490">
        <w:rPr>
          <w:rStyle w:val="Bodytext2Italic"/>
          <w:rFonts w:eastAsia="Arial Unicode MS"/>
          <w:lang w:val="ro-RO"/>
        </w:rPr>
        <w:t>"</w:t>
      </w:r>
      <w:r w:rsidRPr="00196490">
        <w:rPr>
          <w:lang w:val="ro-RO"/>
        </w:rPr>
        <w:t xml:space="preserve"> </w:t>
      </w:r>
      <w:r>
        <w:rPr>
          <w:lang w:val="ro-RO"/>
        </w:rPr>
        <w:t>pentru protejarea drepturilor fundamentale, inclusiv a statului de drept şi a confidenţialităţii comunicărilor între avocat şi client</w:t>
      </w:r>
      <w:r w:rsidRPr="00196490">
        <w:rPr>
          <w:lang w:val="ro-RO"/>
        </w:rPr>
        <w:t xml:space="preserve">. </w:t>
      </w:r>
      <w:r>
        <w:rPr>
          <w:lang w:val="ro-RO"/>
        </w:rPr>
        <w:t>Această rezoluţie</w:t>
      </w:r>
      <w:r w:rsidRPr="00196490">
        <w:rPr>
          <w:lang w:val="ro-RO"/>
        </w:rPr>
        <w:t xml:space="preserve"> </w:t>
      </w:r>
      <w:r>
        <w:rPr>
          <w:lang w:val="ro-RO"/>
        </w:rPr>
        <w:t>a fost</w:t>
      </w:r>
      <w:r w:rsidRPr="00196490">
        <w:rPr>
          <w:lang w:val="ro-RO"/>
        </w:rPr>
        <w:t xml:space="preserve"> </w:t>
      </w:r>
      <w:hyperlink r:id="rId17" w:history="1">
        <w:r>
          <w:rPr>
            <w:rStyle w:val="Bodytext20"/>
            <w:rFonts w:eastAsia="Arial Unicode MS"/>
            <w:lang w:val="ro-RO"/>
          </w:rPr>
          <w:t>apreciată</w:t>
        </w:r>
        <w:r w:rsidRPr="00196490">
          <w:rPr>
            <w:rStyle w:val="Bodytext20"/>
            <w:rFonts w:eastAsia="Arial Unicode MS"/>
            <w:lang w:val="ro-RO"/>
          </w:rPr>
          <w:t xml:space="preserve"> </w:t>
        </w:r>
      </w:hyperlink>
      <w:r>
        <w:rPr>
          <w:lang w:val="ro-RO"/>
        </w:rPr>
        <w:t>de</w:t>
      </w:r>
      <w:r w:rsidRPr="00196490">
        <w:rPr>
          <w:lang w:val="ro-RO"/>
        </w:rPr>
        <w:t xml:space="preserve"> CCBE.</w:t>
      </w:r>
    </w:p>
    <w:p w:rsidR="006660B9" w:rsidRPr="00196490" w:rsidRDefault="006660B9" w:rsidP="003A16ED">
      <w:pPr>
        <w:pStyle w:val="Bodytext21"/>
        <w:shd w:val="clear" w:color="auto" w:fill="auto"/>
        <w:spacing w:before="240" w:line="276" w:lineRule="auto"/>
        <w:ind w:firstLine="0"/>
        <w:jc w:val="both"/>
        <w:rPr>
          <w:lang w:val="ro-RO"/>
        </w:rPr>
      </w:pPr>
      <w:r w:rsidRPr="00196490">
        <w:rPr>
          <w:lang w:val="ro-RO"/>
        </w:rPr>
        <w:t xml:space="preserve">În luna </w:t>
      </w:r>
      <w:r>
        <w:rPr>
          <w:lang w:val="ro-RO"/>
        </w:rPr>
        <w:t>aprilie</w:t>
      </w:r>
      <w:r w:rsidRPr="00196490">
        <w:rPr>
          <w:lang w:val="ro-RO"/>
        </w:rPr>
        <w:t xml:space="preserve"> 2014, CCBE </w:t>
      </w:r>
      <w:r>
        <w:rPr>
          <w:lang w:val="ro-RO"/>
        </w:rPr>
        <w:t>a publicat un</w:t>
      </w:r>
      <w:hyperlink r:id="rId18" w:history="1">
        <w:r w:rsidRPr="00196490">
          <w:rPr>
            <w:lang w:val="ro-RO"/>
          </w:rPr>
          <w:t xml:space="preserve"> </w:t>
        </w:r>
        <w:r>
          <w:rPr>
            <w:rStyle w:val="Bodytext20"/>
            <w:rFonts w:eastAsia="Arial Unicode MS"/>
            <w:lang w:val="ro-RO"/>
          </w:rPr>
          <w:t>studiu comparativ</w:t>
        </w:r>
        <w:r w:rsidRPr="00196490">
          <w:rPr>
            <w:rStyle w:val="Bodytext22"/>
            <w:rFonts w:eastAsia="Arial Unicode MS"/>
            <w:lang w:val="ro-RO"/>
          </w:rPr>
          <w:t xml:space="preserve"> </w:t>
        </w:r>
      </w:hyperlink>
      <w:r>
        <w:rPr>
          <w:lang w:val="ro-RO"/>
        </w:rPr>
        <w:t>privind supravegherea guvernamentală a datelor deţinute de avocaţi în C</w:t>
      </w:r>
      <w:r w:rsidRPr="00196490">
        <w:rPr>
          <w:lang w:val="ro-RO"/>
        </w:rPr>
        <w:t xml:space="preserve">loud, </w:t>
      </w:r>
      <w:r>
        <w:rPr>
          <w:lang w:val="ro-RO"/>
        </w:rPr>
        <w:t>evidenţiind măsura în care</w:t>
      </w:r>
      <w:r w:rsidRPr="00196490">
        <w:rPr>
          <w:lang w:val="ro-RO"/>
        </w:rPr>
        <w:t xml:space="preserve">, </w:t>
      </w:r>
      <w:r>
        <w:rPr>
          <w:lang w:val="ro-RO"/>
        </w:rPr>
        <w:t>în diferite jurisdicţii europene</w:t>
      </w:r>
      <w:r w:rsidRPr="00196490">
        <w:rPr>
          <w:lang w:val="ro-RO"/>
        </w:rPr>
        <w:t xml:space="preserve">, </w:t>
      </w:r>
      <w:r>
        <w:rPr>
          <w:lang w:val="ro-RO"/>
        </w:rPr>
        <w:t>astfel de date electronice sunt susceptibile de acces guvernamental</w:t>
      </w:r>
      <w:r w:rsidRPr="00196490">
        <w:rPr>
          <w:lang w:val="ro-RO"/>
        </w:rPr>
        <w:t xml:space="preserve">, </w:t>
      </w:r>
      <w:r>
        <w:rPr>
          <w:lang w:val="ro-RO"/>
        </w:rPr>
        <w:t>şi normele şi condiţiile care reglementează acest acces</w:t>
      </w:r>
      <w:r w:rsidRPr="00196490">
        <w:rPr>
          <w:lang w:val="ro-RO"/>
        </w:rPr>
        <w:t>.</w:t>
      </w:r>
    </w:p>
    <w:p w:rsidR="006660B9" w:rsidRPr="00196490" w:rsidRDefault="006660B9" w:rsidP="003A16ED">
      <w:pPr>
        <w:pStyle w:val="Bodytext21"/>
        <w:shd w:val="clear" w:color="auto" w:fill="auto"/>
        <w:spacing w:before="240" w:line="276" w:lineRule="auto"/>
        <w:ind w:firstLine="0"/>
        <w:jc w:val="both"/>
        <w:rPr>
          <w:lang w:val="ro-RO"/>
        </w:rPr>
      </w:pPr>
      <w:r>
        <w:rPr>
          <w:lang w:val="ro-RO"/>
        </w:rPr>
        <w:t>În urma evoluţiilor importante în legătură cu activităţile guvernamentale de supraveghere</w:t>
      </w:r>
      <w:r w:rsidRPr="00196490">
        <w:rPr>
          <w:lang w:val="ro-RO"/>
        </w:rPr>
        <w:t xml:space="preserve"> </w:t>
      </w:r>
      <w:r>
        <w:rPr>
          <w:lang w:val="ro-RO"/>
        </w:rPr>
        <w:t>şi impactul lor asupra avocaţilor şi clienţilor acestora</w:t>
      </w:r>
      <w:r w:rsidRPr="00196490">
        <w:rPr>
          <w:lang w:val="ro-RO"/>
        </w:rPr>
        <w:t xml:space="preserve">, CCBE </w:t>
      </w:r>
      <w:r>
        <w:rPr>
          <w:lang w:val="ro-RO"/>
        </w:rPr>
        <w:t>a decis să înfiinţeze</w:t>
      </w:r>
      <w:r w:rsidRPr="00196490">
        <w:rPr>
          <w:lang w:val="ro-RO"/>
        </w:rPr>
        <w:t xml:space="preserve">, </w:t>
      </w:r>
      <w:r>
        <w:rPr>
          <w:lang w:val="ro-RO"/>
        </w:rPr>
        <w:t xml:space="preserve">în luna martie </w:t>
      </w:r>
      <w:r w:rsidRPr="00196490">
        <w:rPr>
          <w:lang w:val="ro-RO"/>
        </w:rPr>
        <w:t xml:space="preserve">2015, </w:t>
      </w:r>
      <w:r>
        <w:rPr>
          <w:lang w:val="ro-RO"/>
        </w:rPr>
        <w:t>un Grup de lucru pentru supraveghere</w:t>
      </w:r>
      <w:r w:rsidRPr="00196490">
        <w:rPr>
          <w:lang w:val="ro-RO"/>
        </w:rPr>
        <w:t>.</w:t>
      </w:r>
    </w:p>
    <w:p w:rsidR="006660B9" w:rsidRPr="00196490" w:rsidRDefault="006660B9" w:rsidP="003A16ED">
      <w:pPr>
        <w:pStyle w:val="Bodytext21"/>
        <w:shd w:val="clear" w:color="auto" w:fill="auto"/>
        <w:spacing w:before="240" w:line="276" w:lineRule="auto"/>
        <w:ind w:firstLine="0"/>
        <w:jc w:val="both"/>
        <w:rPr>
          <w:lang w:val="ro-RO"/>
        </w:rPr>
      </w:pPr>
      <w:r w:rsidRPr="00196490">
        <w:rPr>
          <w:lang w:val="ro-RO"/>
        </w:rPr>
        <w:t xml:space="preserve">În luna </w:t>
      </w:r>
      <w:r>
        <w:rPr>
          <w:lang w:val="ro-RO"/>
        </w:rPr>
        <w:t>martie</w:t>
      </w:r>
      <w:r w:rsidRPr="00196490">
        <w:rPr>
          <w:lang w:val="ro-RO"/>
        </w:rPr>
        <w:t xml:space="preserve"> 2015, CCBE</w:t>
      </w:r>
      <w:hyperlink r:id="rId19" w:history="1">
        <w:r w:rsidRPr="00196490">
          <w:rPr>
            <w:lang w:val="ro-RO"/>
          </w:rPr>
          <w:t xml:space="preserve"> </w:t>
        </w:r>
        <w:r>
          <w:rPr>
            <w:rStyle w:val="Bodytext20"/>
            <w:rFonts w:eastAsia="Arial Unicode MS"/>
            <w:lang w:val="ro-RO"/>
          </w:rPr>
          <w:t>a scris</w:t>
        </w:r>
        <w:r w:rsidRPr="00196490">
          <w:rPr>
            <w:rStyle w:val="Bodytext22"/>
            <w:rFonts w:eastAsia="Arial Unicode MS"/>
            <w:lang w:val="ro-RO"/>
          </w:rPr>
          <w:t xml:space="preserve"> </w:t>
        </w:r>
      </w:hyperlink>
      <w:r>
        <w:rPr>
          <w:lang w:val="ro-RO"/>
        </w:rPr>
        <w:t>ministrului securităţii şi imigraţiei şi</w:t>
      </w:r>
      <w:r w:rsidRPr="00196490">
        <w:rPr>
          <w:lang w:val="ro-RO"/>
        </w:rPr>
        <w:t xml:space="preserve"> </w:t>
      </w:r>
      <w:r>
        <w:rPr>
          <w:lang w:val="ro-RO"/>
        </w:rPr>
        <w:t>ministrului de stat la Ministerul Afacerilor Externe şi Commonwealth-ului al Regatului Unit</w:t>
      </w:r>
      <w:r w:rsidRPr="00196490">
        <w:rPr>
          <w:lang w:val="ro-RO"/>
        </w:rPr>
        <w:t xml:space="preserve">. </w:t>
      </w:r>
      <w:r>
        <w:rPr>
          <w:lang w:val="ro-RO"/>
        </w:rPr>
        <w:t>Scrisorile au exprimat îngrijorarea privind existenţa în UK a unor politici care permit accesul</w:t>
      </w:r>
      <w:r w:rsidRPr="00196490">
        <w:rPr>
          <w:lang w:val="ro-RO"/>
        </w:rPr>
        <w:t xml:space="preserve"> </w:t>
      </w:r>
      <w:r>
        <w:rPr>
          <w:lang w:val="ro-RO"/>
        </w:rPr>
        <w:t>personalului serviciilor de securitate</w:t>
      </w:r>
      <w:r w:rsidRPr="00196490">
        <w:rPr>
          <w:lang w:val="ro-RO"/>
        </w:rPr>
        <w:t xml:space="preserve"> </w:t>
      </w:r>
      <w:r>
        <w:rPr>
          <w:lang w:val="ro-RO"/>
        </w:rPr>
        <w:t>la comunicări confidenţiale între avocat şi client</w:t>
      </w:r>
      <w:r w:rsidRPr="00196490">
        <w:rPr>
          <w:lang w:val="ro-RO"/>
        </w:rPr>
        <w:t xml:space="preserve">, </w:t>
      </w:r>
      <w:r>
        <w:rPr>
          <w:lang w:val="ro-RO"/>
        </w:rPr>
        <w:t>solicitând clarificări pe această temă</w:t>
      </w:r>
      <w:r w:rsidRPr="00196490">
        <w:rPr>
          <w:lang w:val="ro-RO"/>
        </w:rPr>
        <w:t xml:space="preserve">. </w:t>
      </w:r>
      <w:r>
        <w:rPr>
          <w:lang w:val="ro-RO"/>
        </w:rPr>
        <w:t>În sfârşit</w:t>
      </w:r>
      <w:r w:rsidRPr="00196490">
        <w:rPr>
          <w:lang w:val="ro-RO"/>
        </w:rPr>
        <w:t>, CCBE</w:t>
      </w:r>
      <w:hyperlink r:id="rId20" w:history="1">
        <w:r w:rsidRPr="00196490">
          <w:rPr>
            <w:lang w:val="ro-RO"/>
          </w:rPr>
          <w:t xml:space="preserve"> </w:t>
        </w:r>
        <w:r>
          <w:rPr>
            <w:rStyle w:val="Bodytext20"/>
            <w:rFonts w:eastAsia="Arial Unicode MS"/>
            <w:lang w:val="ro-RO"/>
          </w:rPr>
          <w:t>a scris</w:t>
        </w:r>
        <w:r w:rsidRPr="00196490">
          <w:rPr>
            <w:rStyle w:val="Bodytext22"/>
            <w:rFonts w:eastAsia="Arial Unicode MS"/>
            <w:lang w:val="ro-RO"/>
          </w:rPr>
          <w:t xml:space="preserve"> </w:t>
        </w:r>
      </w:hyperlink>
      <w:r>
        <w:rPr>
          <w:lang w:val="ro-RO"/>
        </w:rPr>
        <w:t>în luna ianuarie</w:t>
      </w:r>
      <w:r w:rsidRPr="00196490">
        <w:rPr>
          <w:lang w:val="ro-RO"/>
        </w:rPr>
        <w:t xml:space="preserve"> 2016 </w:t>
      </w:r>
      <w:r>
        <w:rPr>
          <w:lang w:val="ro-RO"/>
        </w:rPr>
        <w:t>Mareşalului Parlamentului Poloniei</w:t>
      </w:r>
      <w:r w:rsidRPr="00196490">
        <w:rPr>
          <w:lang w:val="ro-RO"/>
        </w:rPr>
        <w:t xml:space="preserve">, </w:t>
      </w:r>
      <w:r>
        <w:rPr>
          <w:lang w:val="ro-RO"/>
        </w:rPr>
        <w:t>exprimându-şi îngrijorarea faţă de o propunere de modificare a legii privind instituţia poliţiei</w:t>
      </w:r>
      <w:r w:rsidRPr="00196490">
        <w:rPr>
          <w:lang w:val="ro-RO"/>
        </w:rPr>
        <w:t xml:space="preserve"> </w:t>
      </w:r>
      <w:r>
        <w:rPr>
          <w:lang w:val="ro-RO"/>
        </w:rPr>
        <w:t>şi a altor acte normative privind serviciile secrete ale statului</w:t>
      </w:r>
      <w:r w:rsidRPr="00196490">
        <w:rPr>
          <w:lang w:val="ro-RO"/>
        </w:rPr>
        <w:t xml:space="preserve">, </w:t>
      </w:r>
      <w:r>
        <w:rPr>
          <w:lang w:val="ro-RO"/>
        </w:rPr>
        <w:t>şi în special în legătură cu normele privind supravegherea datelor şi păstrarea datelor</w:t>
      </w:r>
      <w:r w:rsidRPr="00196490">
        <w:rPr>
          <w:lang w:val="ro-RO"/>
        </w:rPr>
        <w:t>.</w:t>
      </w:r>
    </w:p>
    <w:p w:rsidR="006660B9" w:rsidRPr="00951160" w:rsidRDefault="006660B9" w:rsidP="003A16ED">
      <w:pPr>
        <w:pStyle w:val="Bodytext21"/>
        <w:shd w:val="clear" w:color="auto" w:fill="auto"/>
        <w:spacing w:before="240" w:line="276" w:lineRule="auto"/>
        <w:ind w:firstLine="0"/>
        <w:jc w:val="both"/>
        <w:rPr>
          <w:lang w:val="ro-RO"/>
        </w:rPr>
      </w:pPr>
      <w:r>
        <w:rPr>
          <w:lang w:val="ro-RO"/>
        </w:rPr>
        <w:t>În plus</w:t>
      </w:r>
      <w:r w:rsidRPr="00F5644D">
        <w:rPr>
          <w:lang w:val="ro-RO"/>
        </w:rPr>
        <w:t xml:space="preserve">, CCBE </w:t>
      </w:r>
      <w:r>
        <w:rPr>
          <w:lang w:val="ro-RO"/>
        </w:rPr>
        <w:t>a fost implicat în două speţe în faţa instanţei</w:t>
      </w:r>
      <w:r w:rsidRPr="00F5644D">
        <w:rPr>
          <w:lang w:val="ro-RO"/>
        </w:rPr>
        <w:t xml:space="preserve">. </w:t>
      </w:r>
      <w:r>
        <w:rPr>
          <w:lang w:val="ro-RO"/>
        </w:rPr>
        <w:t>Întâi</w:t>
      </w:r>
      <w:r w:rsidRPr="00F5644D">
        <w:rPr>
          <w:lang w:val="ro-RO"/>
        </w:rPr>
        <w:t>, CCBE</w:t>
      </w:r>
      <w:hyperlink r:id="rId21" w:history="1">
        <w:r w:rsidRPr="00F5644D">
          <w:rPr>
            <w:lang w:val="ro-RO"/>
          </w:rPr>
          <w:t xml:space="preserve"> </w:t>
        </w:r>
        <w:r>
          <w:rPr>
            <w:rStyle w:val="Bodytext20"/>
            <w:rFonts w:eastAsia="Arial Unicode MS"/>
            <w:lang w:val="ro-RO"/>
          </w:rPr>
          <w:t>a intervenit</w:t>
        </w:r>
        <w:r w:rsidRPr="00F5644D">
          <w:rPr>
            <w:rStyle w:val="Bodytext22"/>
            <w:rFonts w:eastAsia="Arial Unicode MS"/>
            <w:lang w:val="ro-RO"/>
          </w:rPr>
          <w:t xml:space="preserve"> </w:t>
        </w:r>
      </w:hyperlink>
      <w:r>
        <w:t>î</w:t>
      </w:r>
      <w:r w:rsidRPr="00F5644D">
        <w:rPr>
          <w:lang w:val="ro-RO"/>
        </w:rPr>
        <w:t xml:space="preserve">n 2015 </w:t>
      </w:r>
      <w:r>
        <w:rPr>
          <w:lang w:val="ro-RO"/>
        </w:rPr>
        <w:t>înaintea Consiliului Constituţional al Franţei</w:t>
      </w:r>
      <w:r w:rsidRPr="00F5644D">
        <w:rPr>
          <w:lang w:val="ro-RO"/>
        </w:rPr>
        <w:t xml:space="preserve"> </w:t>
      </w:r>
      <w:r>
        <w:rPr>
          <w:lang w:val="ro-RO"/>
        </w:rPr>
        <w:t>pentru a apăra confidenţialitatea comunicărilor dintre avocaţi şi clienţii acestora</w:t>
      </w:r>
      <w:r w:rsidRPr="00F5644D">
        <w:rPr>
          <w:lang w:val="ro-RO"/>
        </w:rPr>
        <w:t xml:space="preserve">. </w:t>
      </w:r>
      <w:r>
        <w:rPr>
          <w:lang w:val="ro-RO"/>
        </w:rPr>
        <w:t>CCBE a transmis comentarii în cadrul procesului de revizuire a legii privind serviciile de informaţii</w:t>
      </w:r>
      <w:r w:rsidRPr="00F5644D">
        <w:rPr>
          <w:lang w:val="ro-RO"/>
        </w:rPr>
        <w:t xml:space="preserve"> </w:t>
      </w:r>
      <w:r>
        <w:rPr>
          <w:lang w:val="ro-RO"/>
        </w:rPr>
        <w:t>şi a făcut sugestii pentru</w:t>
      </w:r>
      <w:r w:rsidRPr="00F5644D">
        <w:rPr>
          <w:lang w:val="ro-RO"/>
        </w:rPr>
        <w:t xml:space="preserve"> </w:t>
      </w:r>
      <w:r>
        <w:rPr>
          <w:lang w:val="ro-RO"/>
        </w:rPr>
        <w:t>formularea legii în conformitate cu dreptul la viaţă privată şi dreptul la acces la consiliere juridică</w:t>
      </w:r>
      <w:r w:rsidRPr="00F5644D">
        <w:rPr>
          <w:lang w:val="ro-RO"/>
        </w:rPr>
        <w:t xml:space="preserve">. </w:t>
      </w:r>
      <w:r>
        <w:rPr>
          <w:lang w:val="ro-RO"/>
        </w:rPr>
        <w:t>În al doilea rând</w:t>
      </w:r>
      <w:r w:rsidRPr="00F5644D">
        <w:rPr>
          <w:lang w:val="ro-RO"/>
        </w:rPr>
        <w:t xml:space="preserve">, </w:t>
      </w:r>
      <w:r>
        <w:rPr>
          <w:lang w:val="ro-RO"/>
        </w:rPr>
        <w:t>în luna mai</w:t>
      </w:r>
      <w:r w:rsidRPr="00F5644D">
        <w:rPr>
          <w:lang w:val="ro-RO"/>
        </w:rPr>
        <w:t xml:space="preserve"> 2015, CCBE</w:t>
      </w:r>
      <w:hyperlink r:id="rId22" w:history="1">
        <w:r w:rsidRPr="00F5644D">
          <w:rPr>
            <w:lang w:val="ro-RO"/>
          </w:rPr>
          <w:t xml:space="preserve"> </w:t>
        </w:r>
        <w:r>
          <w:rPr>
            <w:rStyle w:val="Bodytext20"/>
            <w:rFonts w:eastAsia="Arial Unicode MS"/>
            <w:lang w:val="ro-RO"/>
          </w:rPr>
          <w:t>a intervenit</w:t>
        </w:r>
        <w:r w:rsidRPr="00F5644D">
          <w:rPr>
            <w:rStyle w:val="Bodytext22"/>
            <w:rFonts w:eastAsia="Arial Unicode MS"/>
            <w:lang w:val="ro-RO"/>
          </w:rPr>
          <w:t xml:space="preserve"> </w:t>
        </w:r>
      </w:hyperlink>
      <w:r>
        <w:rPr>
          <w:lang w:val="ro-RO"/>
        </w:rPr>
        <w:t>cu succes în faţa Tribunalului din Haga</w:t>
      </w:r>
      <w:r w:rsidRPr="00F5644D">
        <w:rPr>
          <w:lang w:val="ro-RO"/>
        </w:rPr>
        <w:t xml:space="preserve"> </w:t>
      </w:r>
      <w:r>
        <w:rPr>
          <w:lang w:val="ro-RO"/>
        </w:rPr>
        <w:t>într-o speţă intentată împotriva statului olandez de către firma de avocatură</w:t>
      </w:r>
      <w:r w:rsidRPr="00F5644D">
        <w:rPr>
          <w:lang w:val="ro-RO"/>
        </w:rPr>
        <w:t xml:space="preserve"> Prakken d'Oliveira </w:t>
      </w:r>
      <w:r>
        <w:rPr>
          <w:lang w:val="ro-RO"/>
        </w:rPr>
        <w:t>şi Asociaţia Olandeză a Avocaţilor de Drept Penal</w:t>
      </w:r>
      <w:r w:rsidRPr="00F5644D">
        <w:rPr>
          <w:lang w:val="ro-RO"/>
        </w:rPr>
        <w:t xml:space="preserve"> (NVSA). </w:t>
      </w:r>
      <w:r>
        <w:rPr>
          <w:lang w:val="ro-RO"/>
        </w:rPr>
        <w:t>Curtea a fost chestionată în privinţa legalităţii interceptărilor</w:t>
      </w:r>
      <w:r w:rsidRPr="00F5644D">
        <w:rPr>
          <w:lang w:val="ro-RO"/>
        </w:rPr>
        <w:t xml:space="preserve"> </w:t>
      </w:r>
      <w:r>
        <w:rPr>
          <w:lang w:val="ro-RO"/>
        </w:rPr>
        <w:t>convorbirilor şi comunicărilor avocaţilor de către serviciile de informaţii naţionale</w:t>
      </w:r>
      <w:r w:rsidRPr="00F5644D">
        <w:rPr>
          <w:lang w:val="ro-RO"/>
        </w:rPr>
        <w:t xml:space="preserve">. </w:t>
      </w:r>
      <w:r>
        <w:rPr>
          <w:lang w:val="ro-RO"/>
        </w:rPr>
        <w:t>În verdictul pronunţat pe</w:t>
      </w:r>
      <w:r w:rsidRPr="00F5644D">
        <w:rPr>
          <w:lang w:val="ro-RO"/>
        </w:rPr>
        <w:t xml:space="preserve"> </w:t>
      </w:r>
      <w:r>
        <w:rPr>
          <w:lang w:val="ro-RO"/>
        </w:rPr>
        <w:t>1 iulie</w:t>
      </w:r>
      <w:r w:rsidRPr="00F5644D">
        <w:rPr>
          <w:lang w:val="ro-RO"/>
        </w:rPr>
        <w:t xml:space="preserve">, </w:t>
      </w:r>
      <w:r>
        <w:rPr>
          <w:lang w:val="ro-RO"/>
        </w:rPr>
        <w:t>instanţa a</w:t>
      </w:r>
      <w:r w:rsidRPr="00F5644D">
        <w:rPr>
          <w:lang w:val="ro-RO"/>
        </w:rPr>
        <w:t xml:space="preserve"> </w:t>
      </w:r>
      <w:r>
        <w:rPr>
          <w:lang w:val="ro-RO"/>
        </w:rPr>
        <w:t>recunoscut că posibilitatea de a comunica în mod confidenţial cu un avocat</w:t>
      </w:r>
      <w:r w:rsidRPr="00F5644D">
        <w:rPr>
          <w:lang w:val="ro-RO"/>
        </w:rPr>
        <w:t xml:space="preserve"> </w:t>
      </w:r>
      <w:r>
        <w:rPr>
          <w:lang w:val="ro-RO"/>
        </w:rPr>
        <w:t>este un drept fundamental care a fost încălcat prin politica olandeză privind supravegherea</w:t>
      </w:r>
      <w:r w:rsidRPr="00F5644D">
        <w:rPr>
          <w:lang w:val="ro-RO"/>
        </w:rPr>
        <w:t xml:space="preserve">. </w:t>
      </w:r>
      <w:r>
        <w:rPr>
          <w:lang w:val="ro-RO"/>
        </w:rPr>
        <w:t>Prin urmare, instanţa a dispus ca guvernul olandez să înceteze orice interceptare a comunicărilor</w:t>
      </w:r>
      <w:r w:rsidRPr="00F5644D">
        <w:rPr>
          <w:lang w:val="ro-RO"/>
        </w:rPr>
        <w:t xml:space="preserve"> </w:t>
      </w:r>
      <w:r>
        <w:rPr>
          <w:lang w:val="ro-RO"/>
        </w:rPr>
        <w:t>dintre clienţi şi avocaţii acestora, conform regimului actual, în termen de şase luni</w:t>
      </w:r>
      <w:r w:rsidRPr="00F5644D">
        <w:rPr>
          <w:lang w:val="ro-RO"/>
        </w:rPr>
        <w:t xml:space="preserve">. </w:t>
      </w:r>
      <w:r>
        <w:rPr>
          <w:lang w:val="ro-RO"/>
        </w:rPr>
        <w:t>Ca reacţie, statul olandez a depus cerere de apel împotriva hotărârii</w:t>
      </w:r>
      <w:r w:rsidRPr="00F5644D">
        <w:rPr>
          <w:lang w:val="ro-RO"/>
        </w:rPr>
        <w:t xml:space="preserve">. </w:t>
      </w:r>
      <w:r>
        <w:rPr>
          <w:lang w:val="ro-RO"/>
        </w:rPr>
        <w:t>La rândul său</w:t>
      </w:r>
      <w:r w:rsidRPr="00F5644D">
        <w:rPr>
          <w:lang w:val="ro-RO"/>
        </w:rPr>
        <w:t xml:space="preserve">, </w:t>
      </w:r>
      <w:r>
        <w:rPr>
          <w:lang w:val="ro-RO"/>
        </w:rPr>
        <w:t>pe 25 a</w:t>
      </w:r>
      <w:r w:rsidRPr="00F5644D">
        <w:rPr>
          <w:lang w:val="ro-RO"/>
        </w:rPr>
        <w:t xml:space="preserve">ugust 2015, CCBE </w:t>
      </w:r>
      <w:r>
        <w:rPr>
          <w:lang w:val="ro-RO"/>
        </w:rPr>
        <w:t>a contestat temeiurile apelului</w:t>
      </w:r>
      <w:r w:rsidRPr="00F5644D">
        <w:rPr>
          <w:lang w:val="ro-RO"/>
        </w:rPr>
        <w:t xml:space="preserve">, </w:t>
      </w:r>
      <w:r>
        <w:rPr>
          <w:lang w:val="ro-RO"/>
        </w:rPr>
        <w:t xml:space="preserve">şi pe </w:t>
      </w:r>
      <w:r w:rsidRPr="00F5644D">
        <w:rPr>
          <w:lang w:val="ro-RO"/>
        </w:rPr>
        <w:t xml:space="preserve">27 </w:t>
      </w:r>
      <w:r>
        <w:rPr>
          <w:lang w:val="ro-RO"/>
        </w:rPr>
        <w:t>octombrie</w:t>
      </w:r>
      <w:r w:rsidRPr="00F5644D">
        <w:rPr>
          <w:lang w:val="ro-RO"/>
        </w:rPr>
        <w:t xml:space="preserve"> 2015 </w:t>
      </w:r>
      <w:r>
        <w:rPr>
          <w:lang w:val="ro-RO"/>
        </w:rPr>
        <w:t>Curtea de Apel din Olanda a respins toate pretenţiile invocate de statul olandez în apel</w:t>
      </w:r>
      <w:r w:rsidRPr="00F5644D">
        <w:rPr>
          <w:lang w:val="ro-RO"/>
        </w:rPr>
        <w:t xml:space="preserve"> </w:t>
      </w:r>
      <w:r>
        <w:rPr>
          <w:lang w:val="ro-RO"/>
        </w:rPr>
        <w:t>şi</w:t>
      </w:r>
      <w:hyperlink r:id="rId23" w:history="1">
        <w:r w:rsidRPr="00F5644D">
          <w:rPr>
            <w:lang w:val="ro-RO"/>
          </w:rPr>
          <w:t xml:space="preserve"> </w:t>
        </w:r>
        <w:r>
          <w:rPr>
            <w:rStyle w:val="Bodytext20"/>
            <w:rFonts w:eastAsia="Arial Unicode MS"/>
            <w:lang w:val="ro-RO"/>
          </w:rPr>
          <w:t xml:space="preserve">a menţinut hotărârea instanţei inferioare </w:t>
        </w:r>
      </w:hyperlink>
      <w:r w:rsidRPr="00951160">
        <w:rPr>
          <w:lang w:val="ro-RO"/>
        </w:rPr>
        <w:t xml:space="preserve">interzicând supravegherea </w:t>
      </w:r>
      <w:r>
        <w:rPr>
          <w:lang w:val="ro-RO"/>
        </w:rPr>
        <w:t>comunicărilor protejate prin secretul profesional</w:t>
      </w:r>
      <w:r w:rsidRPr="00951160">
        <w:rPr>
          <w:lang w:val="ro-RO"/>
        </w:rPr>
        <w:t>.</w:t>
      </w:r>
    </w:p>
    <w:p w:rsidR="006660B9" w:rsidRPr="00F5644D" w:rsidRDefault="006660B9" w:rsidP="003A16ED">
      <w:pPr>
        <w:pStyle w:val="Bodytext21"/>
        <w:shd w:val="clear" w:color="auto" w:fill="auto"/>
        <w:spacing w:line="276" w:lineRule="auto"/>
        <w:ind w:firstLine="0"/>
        <w:rPr>
          <w:lang w:val="ro-RO"/>
        </w:rPr>
      </w:pPr>
    </w:p>
    <w:p w:rsidR="006660B9" w:rsidRPr="00F5644D" w:rsidRDefault="006660B9" w:rsidP="003A16ED">
      <w:pPr>
        <w:pStyle w:val="Bodytext21"/>
        <w:shd w:val="clear" w:color="auto" w:fill="auto"/>
        <w:spacing w:line="276" w:lineRule="auto"/>
        <w:ind w:firstLine="0"/>
        <w:rPr>
          <w:lang w:val="ro-RO"/>
        </w:rPr>
        <w:sectPr w:rsidR="006660B9" w:rsidRPr="00F5644D" w:rsidSect="003A16ED">
          <w:headerReference w:type="default" r:id="rId24"/>
          <w:pgSz w:w="11909" w:h="16840"/>
          <w:pgMar w:top="1440" w:right="1440" w:bottom="1440" w:left="1440" w:header="0" w:footer="3" w:gutter="0"/>
          <w:cols w:space="708"/>
          <w:noEndnote/>
          <w:docGrid w:linePitch="360"/>
        </w:sectPr>
      </w:pPr>
    </w:p>
    <w:p w:rsidR="006660B9" w:rsidRPr="00F5644D" w:rsidRDefault="006660B9" w:rsidP="003A16ED">
      <w:pPr>
        <w:pStyle w:val="Heading10"/>
        <w:keepNext/>
        <w:keepLines/>
        <w:shd w:val="clear" w:color="auto" w:fill="auto"/>
        <w:spacing w:line="276" w:lineRule="auto"/>
        <w:jc w:val="left"/>
        <w:rPr>
          <w:lang w:val="ro-RO"/>
        </w:rPr>
      </w:pPr>
      <w:bookmarkStart w:id="45" w:name="_Toc452658696"/>
      <w:r>
        <w:rPr>
          <w:lang w:val="ro-RO"/>
        </w:rPr>
        <w:t>Bibliografie</w:t>
      </w:r>
      <w:bookmarkEnd w:id="45"/>
    </w:p>
    <w:p w:rsidR="006660B9" w:rsidRPr="00F5644D" w:rsidRDefault="006660B9" w:rsidP="003A16ED">
      <w:pPr>
        <w:pStyle w:val="Bodytext61"/>
        <w:shd w:val="clear" w:color="auto" w:fill="auto"/>
        <w:spacing w:line="276" w:lineRule="auto"/>
        <w:rPr>
          <w:lang w:val="ro-RO"/>
        </w:rPr>
      </w:pPr>
      <w:r>
        <w:rPr>
          <w:lang w:val="ro-RO"/>
        </w:rPr>
        <w:t>Grupul de lucru Articolul</w:t>
      </w:r>
      <w:r w:rsidRPr="00F5644D">
        <w:rPr>
          <w:lang w:val="ro-RO"/>
        </w:rPr>
        <w:t xml:space="preserve"> 29 </w:t>
      </w:r>
    </w:p>
    <w:p w:rsidR="006660B9" w:rsidRPr="00F5644D" w:rsidRDefault="004B250B" w:rsidP="003A16ED">
      <w:pPr>
        <w:pStyle w:val="Bodytext21"/>
        <w:shd w:val="clear" w:color="auto" w:fill="auto"/>
        <w:spacing w:line="276" w:lineRule="auto"/>
        <w:ind w:firstLine="0"/>
        <w:jc w:val="both"/>
        <w:rPr>
          <w:lang w:val="ro-RO"/>
        </w:rPr>
      </w:pPr>
      <w:hyperlink r:id="rId25" w:history="1">
        <w:r w:rsidR="006660B9" w:rsidRPr="00F5644D">
          <w:rPr>
            <w:rStyle w:val="Bodytext20"/>
            <w:rFonts w:eastAsia="Arial Unicode MS"/>
            <w:lang w:val="ro-RO"/>
          </w:rPr>
          <w:t>Joint Statement of the European Data Protection Authorities Assembled in the Article 29 Working Party</w:t>
        </w:r>
        <w:r w:rsidR="006660B9">
          <w:rPr>
            <w:rStyle w:val="Bodytext20"/>
            <w:rFonts w:eastAsia="Arial Unicode MS"/>
            <w:lang w:val="ro-RO"/>
          </w:rPr>
          <w:t xml:space="preserve"> (Declaraţia comună a autorităţilor europene pentru protecţia datelor reunite în Grupul de lucru Articolul 29)</w:t>
        </w:r>
        <w:r w:rsidR="006660B9" w:rsidRPr="00F5644D">
          <w:rPr>
            <w:lang w:val="ro-RO"/>
          </w:rPr>
          <w:t>,</w:t>
        </w:r>
      </w:hyperlink>
      <w:r w:rsidR="006660B9" w:rsidRPr="00F5644D">
        <w:rPr>
          <w:lang w:val="ro-RO"/>
        </w:rPr>
        <w:t xml:space="preserve"> 26 </w:t>
      </w:r>
      <w:r w:rsidR="006660B9">
        <w:rPr>
          <w:lang w:val="ro-RO"/>
        </w:rPr>
        <w:t>noiembrie</w:t>
      </w:r>
      <w:r w:rsidR="006660B9" w:rsidRPr="00F5644D">
        <w:rPr>
          <w:lang w:val="ro-RO"/>
        </w:rPr>
        <w:t xml:space="preserve"> 2014.</w:t>
      </w:r>
    </w:p>
    <w:p w:rsidR="006660B9" w:rsidRPr="00F5644D" w:rsidRDefault="004B250B" w:rsidP="003A16ED">
      <w:pPr>
        <w:pStyle w:val="Bodytext21"/>
        <w:shd w:val="clear" w:color="auto" w:fill="auto"/>
        <w:spacing w:line="276" w:lineRule="auto"/>
        <w:ind w:firstLine="0"/>
        <w:jc w:val="both"/>
        <w:rPr>
          <w:lang w:val="ro-RO"/>
        </w:rPr>
      </w:pPr>
      <w:hyperlink r:id="rId26" w:history="1">
        <w:r w:rsidR="006660B9" w:rsidRPr="00F5644D">
          <w:rPr>
            <w:rStyle w:val="Bodytext20"/>
            <w:rFonts w:eastAsia="Arial Unicode MS"/>
            <w:lang w:val="ro-RO"/>
          </w:rPr>
          <w:t>Working Document on surveillance of electronic communications for intelligence and national security</w:t>
        </w:r>
      </w:hyperlink>
      <w:r w:rsidR="006660B9" w:rsidRPr="00F5644D">
        <w:rPr>
          <w:rStyle w:val="Bodytext20"/>
          <w:rFonts w:eastAsia="Arial Unicode MS"/>
          <w:lang w:val="ro-RO"/>
        </w:rPr>
        <w:t xml:space="preserve"> </w:t>
      </w:r>
      <w:hyperlink r:id="rId27" w:history="1">
        <w:r w:rsidR="006660B9" w:rsidRPr="00F5644D">
          <w:rPr>
            <w:rStyle w:val="Bodytext20"/>
            <w:rFonts w:eastAsia="Arial Unicode MS"/>
            <w:lang w:val="ro-RO"/>
          </w:rPr>
          <w:t>purposes</w:t>
        </w:r>
        <w:r w:rsidR="006660B9">
          <w:rPr>
            <w:rStyle w:val="Bodytext20"/>
            <w:rFonts w:eastAsia="Arial Unicode MS"/>
            <w:lang w:val="ro-RO"/>
          </w:rPr>
          <w:t xml:space="preserve"> (Document de lucru privind supravegherea comunicaţiilor electronice în scopul securităţii naţionale)</w:t>
        </w:r>
        <w:r w:rsidR="006660B9" w:rsidRPr="00F5644D">
          <w:rPr>
            <w:lang w:val="ro-RO"/>
          </w:rPr>
          <w:t xml:space="preserve">, </w:t>
        </w:r>
      </w:hyperlink>
      <w:r w:rsidR="006660B9" w:rsidRPr="00F5644D">
        <w:rPr>
          <w:lang w:val="ro-RO"/>
        </w:rPr>
        <w:t xml:space="preserve">5 </w:t>
      </w:r>
      <w:r w:rsidR="006660B9">
        <w:rPr>
          <w:lang w:val="ro-RO"/>
        </w:rPr>
        <w:t>decembrie</w:t>
      </w:r>
      <w:r w:rsidR="006660B9" w:rsidRPr="00F5644D">
        <w:rPr>
          <w:lang w:val="ro-RO"/>
        </w:rPr>
        <w:t xml:space="preserve"> 2014.</w:t>
      </w:r>
    </w:p>
    <w:p w:rsidR="006660B9" w:rsidRPr="00F5644D" w:rsidRDefault="006660B9" w:rsidP="003A16ED">
      <w:pPr>
        <w:pStyle w:val="Bodytext61"/>
        <w:shd w:val="clear" w:color="auto" w:fill="auto"/>
        <w:spacing w:line="276" w:lineRule="auto"/>
        <w:rPr>
          <w:lang w:val="ro-RO"/>
        </w:rPr>
      </w:pPr>
      <w:r w:rsidRPr="00F5644D">
        <w:rPr>
          <w:lang w:val="ro-RO"/>
        </w:rPr>
        <w:t>CCBE</w:t>
      </w:r>
    </w:p>
    <w:p w:rsidR="006660B9" w:rsidRPr="00F5644D" w:rsidRDefault="004B250B" w:rsidP="003A16ED">
      <w:pPr>
        <w:pStyle w:val="Bodytext31"/>
        <w:shd w:val="clear" w:color="auto" w:fill="auto"/>
        <w:spacing w:line="276" w:lineRule="auto"/>
        <w:ind w:firstLine="0"/>
        <w:rPr>
          <w:lang w:val="ro-RO"/>
        </w:rPr>
      </w:pPr>
      <w:hyperlink r:id="rId28" w:history="1">
        <w:r w:rsidR="006660B9" w:rsidRPr="00F5644D">
          <w:rPr>
            <w:rStyle w:val="Bodytext30"/>
            <w:rFonts w:eastAsia="Arial Unicode MS"/>
            <w:i/>
            <w:iCs/>
            <w:lang w:val="ro-RO"/>
          </w:rPr>
          <w:t>Letter to Polish Parliament regarding draft law on amendments to the law on Police and other acts in</w:t>
        </w:r>
      </w:hyperlink>
      <w:r w:rsidR="006660B9" w:rsidRPr="00F5644D">
        <w:rPr>
          <w:rStyle w:val="Bodytext30"/>
          <w:rFonts w:eastAsia="Arial Unicode MS"/>
          <w:i/>
          <w:iCs/>
          <w:lang w:val="ro-RO"/>
        </w:rPr>
        <w:t xml:space="preserve"> </w:t>
      </w:r>
      <w:hyperlink r:id="rId29" w:history="1">
        <w:r w:rsidR="006660B9" w:rsidRPr="00F5644D">
          <w:rPr>
            <w:rStyle w:val="Bodytext30"/>
            <w:rFonts w:eastAsia="Arial Unicode MS"/>
            <w:i/>
            <w:iCs/>
            <w:lang w:val="ro-RO"/>
          </w:rPr>
          <w:t>connection with the judgment of the Polish Constitutional Tribunal from 30 July 2014</w:t>
        </w:r>
        <w:r w:rsidR="006660B9">
          <w:rPr>
            <w:rStyle w:val="Bodytext30"/>
            <w:rFonts w:eastAsia="Arial Unicode MS"/>
            <w:i/>
            <w:iCs/>
            <w:lang w:val="ro-RO"/>
          </w:rPr>
          <w:t xml:space="preserve"> (Scrisoare către Parlamentul Poloniei în legătură cu propunerea de modificare a legii privind instituţia poliţiei şi a altor legi în legătură cu hotărârea Tribunalului Constituţional din Polonia, din 30 iulie 2014)</w:t>
        </w:r>
        <w:r w:rsidR="006660B9" w:rsidRPr="00F5644D">
          <w:rPr>
            <w:lang w:val="ro-RO"/>
          </w:rPr>
          <w:t>,</w:t>
        </w:r>
        <w:r w:rsidR="006660B9" w:rsidRPr="00F5644D">
          <w:rPr>
            <w:rStyle w:val="Bodytext3NotItalic"/>
            <w:rFonts w:eastAsia="Arial Unicode MS"/>
            <w:lang w:val="ro-RO"/>
          </w:rPr>
          <w:t xml:space="preserve"> </w:t>
        </w:r>
      </w:hyperlink>
      <w:r w:rsidR="006660B9" w:rsidRPr="00F5644D">
        <w:rPr>
          <w:rStyle w:val="Bodytext3NotItalic"/>
          <w:rFonts w:eastAsia="Arial Unicode MS"/>
          <w:lang w:val="ro-RO"/>
        </w:rPr>
        <w:t>2016.</w:t>
      </w:r>
    </w:p>
    <w:p w:rsidR="006660B9" w:rsidRPr="00F5644D" w:rsidRDefault="004B250B" w:rsidP="003A16ED">
      <w:pPr>
        <w:pStyle w:val="Bodytext31"/>
        <w:shd w:val="clear" w:color="auto" w:fill="auto"/>
        <w:spacing w:line="276" w:lineRule="auto"/>
        <w:ind w:firstLine="0"/>
        <w:rPr>
          <w:lang w:val="ro-RO"/>
        </w:rPr>
      </w:pPr>
      <w:hyperlink r:id="rId30" w:history="1">
        <w:r w:rsidR="006660B9" w:rsidRPr="00F5644D">
          <w:rPr>
            <w:rStyle w:val="Bodytext30"/>
            <w:rFonts w:eastAsia="Arial Unicode MS"/>
            <w:i/>
            <w:iCs/>
            <w:lang w:val="ro-RO"/>
          </w:rPr>
          <w:t>CCBE Letter to James Brokenshire MP, Immigration and Security Minister of United Kingdom</w:t>
        </w:r>
        <w:r w:rsidR="006660B9">
          <w:rPr>
            <w:rStyle w:val="Bodytext30"/>
            <w:rFonts w:eastAsia="Arial Unicode MS"/>
            <w:i/>
            <w:iCs/>
            <w:lang w:val="ro-RO"/>
          </w:rPr>
          <w:t xml:space="preserve"> (Scrisoarea CCBE către James Brokenshire MP, ministrul pentru securitate şi imigraţie al Regatului Unit)</w:t>
        </w:r>
        <w:r w:rsidR="006660B9" w:rsidRPr="00F5644D">
          <w:rPr>
            <w:rStyle w:val="Bodytext32"/>
            <w:rFonts w:eastAsia="Arial Unicode MS"/>
            <w:i/>
            <w:iCs/>
            <w:lang w:val="ro-RO"/>
          </w:rPr>
          <w:t>,</w:t>
        </w:r>
        <w:r w:rsidR="006660B9" w:rsidRPr="00F5644D">
          <w:rPr>
            <w:rStyle w:val="Bodytext3NotItalic"/>
            <w:rFonts w:eastAsia="Arial Unicode MS"/>
            <w:lang w:val="ro-RO"/>
          </w:rPr>
          <w:t xml:space="preserve"> </w:t>
        </w:r>
      </w:hyperlink>
      <w:r w:rsidR="006660B9" w:rsidRPr="00F5644D">
        <w:rPr>
          <w:rStyle w:val="Bodytext3NotItalic"/>
          <w:rFonts w:eastAsia="Arial Unicode MS"/>
          <w:lang w:val="ro-RO"/>
        </w:rPr>
        <w:t>2015.</w:t>
      </w:r>
    </w:p>
    <w:p w:rsidR="006660B9" w:rsidRPr="00F5644D" w:rsidRDefault="004B250B" w:rsidP="003A16ED">
      <w:pPr>
        <w:pStyle w:val="Bodytext31"/>
        <w:shd w:val="clear" w:color="auto" w:fill="auto"/>
        <w:spacing w:line="276" w:lineRule="auto"/>
        <w:ind w:firstLine="0"/>
        <w:rPr>
          <w:lang w:val="ro-RO"/>
        </w:rPr>
      </w:pPr>
      <w:hyperlink r:id="rId31" w:history="1">
        <w:r w:rsidR="006660B9" w:rsidRPr="00F5644D">
          <w:rPr>
            <w:rStyle w:val="Bodytext30"/>
            <w:rFonts w:eastAsia="Arial Unicode MS"/>
            <w:i/>
            <w:iCs/>
            <w:lang w:val="ro-RO"/>
          </w:rPr>
          <w:t>CCBE Comparative Study on Governmental Surveillance of Lawyers’ Data in the Cloud</w:t>
        </w:r>
        <w:r w:rsidR="006660B9">
          <w:rPr>
            <w:rStyle w:val="Bodytext30"/>
            <w:rFonts w:eastAsia="Arial Unicode MS"/>
            <w:i/>
            <w:iCs/>
            <w:lang w:val="ro-RO"/>
          </w:rPr>
          <w:t xml:space="preserve"> (Studiu comparativ privind supravegherea guvernamentală a datelor avocaţilor în Cloud)</w:t>
        </w:r>
        <w:r w:rsidR="006660B9" w:rsidRPr="00F5644D">
          <w:rPr>
            <w:rStyle w:val="Bodytext32"/>
            <w:rFonts w:eastAsia="Arial Unicode MS"/>
            <w:i/>
            <w:iCs/>
            <w:lang w:val="ro-RO"/>
          </w:rPr>
          <w:t>,</w:t>
        </w:r>
        <w:r w:rsidR="006660B9" w:rsidRPr="00F5644D">
          <w:rPr>
            <w:rStyle w:val="Bodytext3NotItalic"/>
            <w:rFonts w:eastAsia="Arial Unicode MS"/>
            <w:lang w:val="ro-RO"/>
          </w:rPr>
          <w:t xml:space="preserve"> </w:t>
        </w:r>
      </w:hyperlink>
      <w:r w:rsidR="006660B9" w:rsidRPr="00F5644D">
        <w:rPr>
          <w:rStyle w:val="Bodytext3NotItalic"/>
          <w:rFonts w:eastAsia="Arial Unicode MS"/>
          <w:lang w:val="ro-RO"/>
        </w:rPr>
        <w:t>2014.</w:t>
      </w:r>
    </w:p>
    <w:p w:rsidR="006660B9" w:rsidRPr="00F5644D" w:rsidRDefault="004B250B" w:rsidP="003A16ED">
      <w:pPr>
        <w:pStyle w:val="Bodytext31"/>
        <w:shd w:val="clear" w:color="auto" w:fill="auto"/>
        <w:spacing w:line="276" w:lineRule="auto"/>
        <w:ind w:firstLine="0"/>
        <w:rPr>
          <w:lang w:val="ro-RO"/>
        </w:rPr>
      </w:pPr>
      <w:hyperlink r:id="rId32" w:history="1">
        <w:r w:rsidR="006660B9" w:rsidRPr="00F5644D">
          <w:rPr>
            <w:rStyle w:val="Bodytext30"/>
            <w:rFonts w:eastAsia="Arial Unicode MS"/>
            <w:i/>
            <w:iCs/>
            <w:lang w:val="ro-RO"/>
          </w:rPr>
          <w:t>CCBE Statement on mass electronic surveillance by government bodies (including of European lawyers’</w:t>
        </w:r>
      </w:hyperlink>
      <w:r w:rsidR="006660B9" w:rsidRPr="00F5644D">
        <w:rPr>
          <w:rStyle w:val="Bodytext30"/>
          <w:rFonts w:eastAsia="Arial Unicode MS"/>
          <w:i/>
          <w:iCs/>
          <w:lang w:val="ro-RO"/>
        </w:rPr>
        <w:t xml:space="preserve"> </w:t>
      </w:r>
      <w:hyperlink r:id="rId33" w:history="1">
        <w:r w:rsidR="006660B9" w:rsidRPr="00F5644D">
          <w:rPr>
            <w:rStyle w:val="Bodytext30"/>
            <w:rFonts w:eastAsia="Arial Unicode MS"/>
            <w:i/>
            <w:iCs/>
            <w:lang w:val="ro-RO"/>
          </w:rPr>
          <w:t>data)</w:t>
        </w:r>
        <w:r w:rsidR="006660B9">
          <w:rPr>
            <w:rStyle w:val="Bodytext30"/>
            <w:rFonts w:eastAsia="Arial Unicode MS"/>
            <w:i/>
            <w:iCs/>
            <w:lang w:val="ro-RO"/>
          </w:rPr>
          <w:t xml:space="preserve"> (Declaraţia CCBE privind supravegherea electronică în masă de către organisme guvernamentale (inclusiv a datelor avocaţilor europeni)</w:t>
        </w:r>
        <w:r w:rsidR="006660B9" w:rsidRPr="00F5644D">
          <w:rPr>
            <w:rStyle w:val="Bodytext32"/>
            <w:rFonts w:eastAsia="Arial Unicode MS"/>
            <w:i/>
            <w:iCs/>
            <w:lang w:val="ro-RO"/>
          </w:rPr>
          <w:t>,</w:t>
        </w:r>
        <w:r w:rsidR="006660B9" w:rsidRPr="00F5644D">
          <w:rPr>
            <w:rStyle w:val="Bodytext3NotItalic"/>
            <w:rFonts w:eastAsia="Arial Unicode MS"/>
            <w:lang w:val="ro-RO"/>
          </w:rPr>
          <w:t xml:space="preserve"> </w:t>
        </w:r>
      </w:hyperlink>
      <w:r w:rsidR="006660B9" w:rsidRPr="00F5644D">
        <w:rPr>
          <w:rStyle w:val="Bodytext3NotItalic"/>
          <w:rFonts w:eastAsia="Arial Unicode MS"/>
          <w:lang w:val="ro-RO"/>
        </w:rPr>
        <w:t>2013.</w:t>
      </w:r>
    </w:p>
    <w:p w:rsidR="006660B9" w:rsidRPr="00F5644D" w:rsidRDefault="004B250B" w:rsidP="003A16ED">
      <w:pPr>
        <w:pStyle w:val="Bodytext31"/>
        <w:shd w:val="clear" w:color="auto" w:fill="auto"/>
        <w:spacing w:line="276" w:lineRule="auto"/>
        <w:ind w:firstLine="0"/>
        <w:rPr>
          <w:lang w:val="ro-RO"/>
        </w:rPr>
      </w:pPr>
      <w:hyperlink r:id="rId34" w:history="1">
        <w:r w:rsidR="006660B9" w:rsidRPr="00F5644D">
          <w:rPr>
            <w:rStyle w:val="Bodytext30"/>
            <w:rFonts w:eastAsia="Arial Unicode MS"/>
            <w:i/>
            <w:iCs/>
            <w:lang w:val="ro-RO"/>
          </w:rPr>
          <w:t>Charter of Core Principles of the European Legal Profession and Code of Conduct for European</w:t>
        </w:r>
      </w:hyperlink>
      <w:r w:rsidR="006660B9" w:rsidRPr="00F5644D">
        <w:rPr>
          <w:rStyle w:val="Bodytext30"/>
          <w:rFonts w:eastAsia="Arial Unicode MS"/>
          <w:i/>
          <w:iCs/>
          <w:lang w:val="ro-RO"/>
        </w:rPr>
        <w:t xml:space="preserve"> </w:t>
      </w:r>
      <w:hyperlink r:id="rId35" w:history="1">
        <w:r w:rsidR="006660B9" w:rsidRPr="00F5644D">
          <w:rPr>
            <w:rStyle w:val="Bodytext30"/>
            <w:rFonts w:eastAsia="Arial Unicode MS"/>
            <w:i/>
            <w:iCs/>
            <w:lang w:val="ro-RO"/>
          </w:rPr>
          <w:t>Lawyers</w:t>
        </w:r>
        <w:r w:rsidR="006660B9">
          <w:rPr>
            <w:rStyle w:val="Bodytext30"/>
            <w:rFonts w:eastAsia="Arial Unicode MS"/>
            <w:i/>
            <w:iCs/>
            <w:lang w:val="ro-RO"/>
          </w:rPr>
          <w:t xml:space="preserve"> (Carta principiilor de bază ale avocatului european şi Codul deontologic al avocatului european)</w:t>
        </w:r>
        <w:r w:rsidR="006660B9" w:rsidRPr="00F5644D">
          <w:rPr>
            <w:rStyle w:val="Bodytext32"/>
            <w:rFonts w:eastAsia="Arial Unicode MS"/>
            <w:i/>
            <w:iCs/>
            <w:lang w:val="ro-RO"/>
          </w:rPr>
          <w:t>,</w:t>
        </w:r>
        <w:r w:rsidR="006660B9" w:rsidRPr="00F5644D">
          <w:rPr>
            <w:rStyle w:val="Bodytext3NotItalic"/>
            <w:rFonts w:eastAsia="Arial Unicode MS"/>
            <w:lang w:val="ro-RO"/>
          </w:rPr>
          <w:t xml:space="preserve"> </w:t>
        </w:r>
      </w:hyperlink>
      <w:r w:rsidR="006660B9" w:rsidRPr="00F5644D">
        <w:rPr>
          <w:rStyle w:val="Bodytext3NotItalic"/>
          <w:rFonts w:eastAsia="Arial Unicode MS"/>
          <w:lang w:val="ro-RO"/>
        </w:rPr>
        <w:t>2013.</w:t>
      </w:r>
    </w:p>
    <w:p w:rsidR="006660B9" w:rsidRDefault="006660B9" w:rsidP="003A16ED">
      <w:pPr>
        <w:pStyle w:val="Bodytext31"/>
        <w:shd w:val="clear" w:color="auto" w:fill="auto"/>
        <w:spacing w:line="276" w:lineRule="auto"/>
        <w:ind w:firstLine="0"/>
        <w:rPr>
          <w:rStyle w:val="Bodytext3NotItalic"/>
          <w:rFonts w:eastAsia="Arial Unicode MS"/>
          <w:lang w:val="ro-RO"/>
        </w:rPr>
      </w:pPr>
      <w:r w:rsidRPr="00F5644D">
        <w:rPr>
          <w:lang w:val="ro-RO"/>
        </w:rPr>
        <w:t>Legal Professional Privilege and European Case Law</w:t>
      </w:r>
      <w:r>
        <w:rPr>
          <w:lang w:val="ro-RO"/>
        </w:rPr>
        <w:t xml:space="preserve"> (Privilegiul profesiei juridice şi jurisprudenţa europeană)</w:t>
      </w:r>
      <w:r w:rsidRPr="00F5644D">
        <w:rPr>
          <w:lang w:val="ro-RO"/>
        </w:rPr>
        <w:t>,</w:t>
      </w:r>
      <w:r w:rsidRPr="00F5644D">
        <w:rPr>
          <w:rStyle w:val="Bodytext3NotItalic"/>
          <w:rFonts w:eastAsia="Arial Unicode MS"/>
          <w:lang w:val="ro-RO"/>
        </w:rPr>
        <w:t xml:space="preserve"> </w:t>
      </w:r>
      <w:r w:rsidRPr="00F5644D">
        <w:rPr>
          <w:rStyle w:val="Bodytext3NotItalic"/>
          <w:rFonts w:eastAsia="Arial Unicode MS"/>
          <w:lang w:val="ro-RO"/>
        </w:rPr>
        <w:lastRenderedPageBreak/>
        <w:t xml:space="preserve">CCBE, Georges-Albert Dal (editor), 2010. </w:t>
      </w:r>
    </w:p>
    <w:p w:rsidR="006660B9" w:rsidRPr="00F5644D" w:rsidRDefault="006660B9" w:rsidP="003A16ED">
      <w:pPr>
        <w:pStyle w:val="Bodytext31"/>
        <w:shd w:val="clear" w:color="auto" w:fill="auto"/>
        <w:spacing w:line="276" w:lineRule="auto"/>
        <w:ind w:firstLine="0"/>
        <w:rPr>
          <w:lang w:val="ro-RO"/>
        </w:rPr>
      </w:pPr>
      <w:r>
        <w:rPr>
          <w:rStyle w:val="Bodytext3Bold"/>
          <w:rFonts w:eastAsia="Arial Unicode MS"/>
          <w:i/>
          <w:iCs/>
          <w:lang w:val="ro-RO"/>
        </w:rPr>
        <w:t>Consiliul Europei</w:t>
      </w:r>
    </w:p>
    <w:p w:rsidR="006660B9" w:rsidRPr="00F5644D" w:rsidRDefault="006660B9" w:rsidP="003A16ED">
      <w:pPr>
        <w:pStyle w:val="Bodytext21"/>
        <w:shd w:val="clear" w:color="auto" w:fill="auto"/>
        <w:spacing w:line="276" w:lineRule="auto"/>
        <w:ind w:firstLine="0"/>
        <w:jc w:val="both"/>
        <w:rPr>
          <w:lang w:val="ro-RO"/>
        </w:rPr>
      </w:pPr>
      <w:r>
        <w:rPr>
          <w:lang w:val="ro-RO"/>
        </w:rPr>
        <w:t>Adunarea Parlamentară a Consiliului Europei</w:t>
      </w:r>
      <w:r w:rsidRPr="00F5644D">
        <w:rPr>
          <w:lang w:val="ro-RO"/>
        </w:rPr>
        <w:t>,</w:t>
      </w:r>
      <w:hyperlink r:id="rId36" w:history="1">
        <w:r w:rsidRPr="00F5644D">
          <w:rPr>
            <w:lang w:val="ro-RO"/>
          </w:rPr>
          <w:t xml:space="preserve"> </w:t>
        </w:r>
        <w:r>
          <w:rPr>
            <w:rStyle w:val="Bodytext20"/>
            <w:rFonts w:eastAsia="Arial Unicode MS"/>
            <w:lang w:val="ro-RO"/>
          </w:rPr>
          <w:t>Rezoluţia</w:t>
        </w:r>
        <w:r w:rsidRPr="00F5644D">
          <w:rPr>
            <w:rStyle w:val="Bodytext20"/>
            <w:rFonts w:eastAsia="Arial Unicode MS"/>
            <w:lang w:val="ro-RO"/>
          </w:rPr>
          <w:t xml:space="preserve"> 2045</w:t>
        </w:r>
        <w:r w:rsidRPr="00F5644D">
          <w:rPr>
            <w:lang w:val="ro-RO"/>
          </w:rPr>
          <w:t xml:space="preserve">, </w:t>
        </w:r>
      </w:hyperlink>
      <w:r w:rsidRPr="00F5644D">
        <w:rPr>
          <w:lang w:val="ro-RO"/>
        </w:rPr>
        <w:t xml:space="preserve">21 </w:t>
      </w:r>
      <w:r>
        <w:rPr>
          <w:lang w:val="ro-RO"/>
        </w:rPr>
        <w:t>aprilie</w:t>
      </w:r>
      <w:r w:rsidRPr="00F5644D">
        <w:rPr>
          <w:lang w:val="ro-RO"/>
        </w:rPr>
        <w:t xml:space="preserve"> 2015.</w:t>
      </w:r>
    </w:p>
    <w:p w:rsidR="006660B9" w:rsidRPr="00F5644D" w:rsidRDefault="006660B9" w:rsidP="003A16ED">
      <w:pPr>
        <w:pStyle w:val="Bodytext21"/>
        <w:shd w:val="clear" w:color="auto" w:fill="auto"/>
        <w:spacing w:line="276" w:lineRule="auto"/>
        <w:ind w:firstLine="0"/>
        <w:jc w:val="both"/>
        <w:rPr>
          <w:lang w:val="ro-RO"/>
        </w:rPr>
      </w:pPr>
      <w:r>
        <w:rPr>
          <w:lang w:val="ro-RO"/>
        </w:rPr>
        <w:t>Comisia de la Veneţia a Consiliului Europei</w:t>
      </w:r>
      <w:r w:rsidRPr="00F5644D">
        <w:rPr>
          <w:lang w:val="ro-RO"/>
        </w:rPr>
        <w:t>,</w:t>
      </w:r>
      <w:hyperlink r:id="rId37" w:history="1">
        <w:r w:rsidRPr="00F5644D">
          <w:rPr>
            <w:lang w:val="ro-RO"/>
          </w:rPr>
          <w:t xml:space="preserve"> ‘</w:t>
        </w:r>
        <w:r w:rsidRPr="00F5644D">
          <w:rPr>
            <w:rStyle w:val="Bodytext20"/>
            <w:rFonts w:eastAsia="Arial Unicode MS"/>
            <w:lang w:val="ro-RO"/>
          </w:rPr>
          <w:t>Update of the 2007 Report on the Democratic Oversight of the</w:t>
        </w:r>
      </w:hyperlink>
      <w:r w:rsidRPr="00F5644D">
        <w:rPr>
          <w:rStyle w:val="Bodytext20"/>
          <w:rFonts w:eastAsia="Arial Unicode MS"/>
          <w:lang w:val="ro-RO"/>
        </w:rPr>
        <w:t xml:space="preserve"> </w:t>
      </w:r>
      <w:hyperlink r:id="rId38" w:history="1">
        <w:r w:rsidRPr="00F5644D">
          <w:rPr>
            <w:rStyle w:val="Bodytext20"/>
            <w:rFonts w:eastAsia="Arial Unicode MS"/>
            <w:lang w:val="ro-RO"/>
          </w:rPr>
          <w:t>Security Services and Report on the Democratic Oversight of Signals Intelligence Services’</w:t>
        </w:r>
        <w:r>
          <w:rPr>
            <w:rStyle w:val="Bodytext20"/>
            <w:rFonts w:eastAsia="Arial Unicode MS"/>
            <w:lang w:val="ro-RO"/>
          </w:rPr>
          <w:t xml:space="preserve"> </w:t>
        </w:r>
        <w:r w:rsidRPr="00380C48">
          <w:t>(</w:t>
        </w:r>
        <w:r w:rsidRPr="00380C48">
          <w:rPr>
            <w:color w:val="0000FF"/>
            <w:u w:val="single"/>
            <w:lang w:val="ro-RO"/>
          </w:rPr>
          <w:t xml:space="preserve">Actualizarea Raportului din 2007 privind supravegherea democratică a serviciilor de securitate </w:t>
        </w:r>
        <w:r>
          <w:rPr>
            <w:color w:val="0000FF"/>
            <w:u w:val="single"/>
            <w:lang w:val="ro-RO"/>
          </w:rPr>
          <w:t>ş</w:t>
        </w:r>
        <w:r w:rsidRPr="00380C48">
          <w:rPr>
            <w:color w:val="0000FF"/>
            <w:u w:val="single"/>
            <w:lang w:val="ro-RO"/>
          </w:rPr>
          <w:t>i a Raportului privind supravegherea democratică a serviciilor de informa</w:t>
        </w:r>
        <w:r>
          <w:rPr>
            <w:color w:val="0000FF"/>
            <w:u w:val="single"/>
            <w:lang w:val="ro-RO"/>
          </w:rPr>
          <w:t>ţ</w:t>
        </w:r>
        <w:r w:rsidRPr="00380C48">
          <w:rPr>
            <w:color w:val="0000FF"/>
            <w:u w:val="single"/>
            <w:lang w:val="ro-RO"/>
          </w:rPr>
          <w:t>ii care folosesc interceptarea semnalelor</w:t>
        </w:r>
        <w:r>
          <w:rPr>
            <w:rStyle w:val="Bodytext20"/>
            <w:rFonts w:eastAsia="Arial Unicode MS"/>
            <w:lang w:val="ro-RO"/>
          </w:rPr>
          <w:t>)</w:t>
        </w:r>
        <w:r w:rsidRPr="00F5644D">
          <w:rPr>
            <w:lang w:val="ro-RO"/>
          </w:rPr>
          <w:t xml:space="preserve">, </w:t>
        </w:r>
      </w:hyperlink>
      <w:r w:rsidRPr="00F5644D">
        <w:rPr>
          <w:lang w:val="ro-RO"/>
        </w:rPr>
        <w:t>2015</w:t>
      </w:r>
    </w:p>
    <w:p w:rsidR="006660B9" w:rsidRPr="00F5644D" w:rsidRDefault="006660B9" w:rsidP="003A16ED">
      <w:pPr>
        <w:pStyle w:val="Bodytext21"/>
        <w:shd w:val="clear" w:color="auto" w:fill="auto"/>
        <w:spacing w:line="276" w:lineRule="auto"/>
        <w:ind w:firstLine="0"/>
        <w:jc w:val="both"/>
        <w:rPr>
          <w:lang w:val="ro-RO"/>
        </w:rPr>
      </w:pPr>
      <w:r>
        <w:rPr>
          <w:lang w:val="ro-RO"/>
        </w:rPr>
        <w:t>Comisarul pentru drepturile omului al Consiliului Europei</w:t>
      </w:r>
      <w:r w:rsidRPr="00F5644D">
        <w:rPr>
          <w:lang w:val="ro-RO"/>
        </w:rPr>
        <w:t>,</w:t>
      </w:r>
      <w:hyperlink r:id="rId39" w:history="1">
        <w:r w:rsidRPr="00F5644D">
          <w:rPr>
            <w:lang w:val="ro-RO"/>
          </w:rPr>
          <w:t xml:space="preserve"> ‘</w:t>
        </w:r>
        <w:r w:rsidRPr="00F5644D">
          <w:rPr>
            <w:rStyle w:val="Bodytext20"/>
            <w:rFonts w:eastAsia="Arial Unicode MS"/>
            <w:lang w:val="ro-RO"/>
          </w:rPr>
          <w:t>Democratic and effective oversight of national</w:t>
        </w:r>
      </w:hyperlink>
      <w:r w:rsidRPr="00F5644D">
        <w:rPr>
          <w:rStyle w:val="Bodytext20"/>
          <w:rFonts w:eastAsia="Arial Unicode MS"/>
          <w:lang w:val="ro-RO"/>
        </w:rPr>
        <w:t xml:space="preserve"> </w:t>
      </w:r>
      <w:hyperlink r:id="rId40" w:history="1">
        <w:r w:rsidRPr="00F5644D">
          <w:rPr>
            <w:rStyle w:val="Bodytext20"/>
            <w:rFonts w:eastAsia="Arial Unicode MS"/>
            <w:lang w:val="ro-RO"/>
          </w:rPr>
          <w:t>security services’</w:t>
        </w:r>
        <w:r>
          <w:rPr>
            <w:rStyle w:val="Bodytext20"/>
            <w:rFonts w:eastAsia="Arial Unicode MS"/>
            <w:lang w:val="ro-RO"/>
          </w:rPr>
          <w:t xml:space="preserve"> (Supravegherea democratică şi eficientă a serviciilor naţionale de securitate)</w:t>
        </w:r>
        <w:r w:rsidRPr="00F5644D">
          <w:rPr>
            <w:lang w:val="ro-RO"/>
          </w:rPr>
          <w:t xml:space="preserve">, </w:t>
        </w:r>
      </w:hyperlink>
      <w:r>
        <w:rPr>
          <w:lang w:val="ro-RO"/>
        </w:rPr>
        <w:t>document de discuţie</w:t>
      </w:r>
      <w:r w:rsidRPr="00F5644D">
        <w:rPr>
          <w:lang w:val="ro-RO"/>
        </w:rPr>
        <w:t xml:space="preserve">, </w:t>
      </w:r>
      <w:r>
        <w:rPr>
          <w:lang w:val="ro-RO"/>
        </w:rPr>
        <w:t>Consiliul Europei</w:t>
      </w:r>
      <w:r w:rsidRPr="00F5644D">
        <w:rPr>
          <w:lang w:val="ro-RO"/>
        </w:rPr>
        <w:t>, 2015.</w:t>
      </w:r>
    </w:p>
    <w:p w:rsidR="006660B9" w:rsidRPr="00F5644D" w:rsidRDefault="006660B9" w:rsidP="003A16ED">
      <w:pPr>
        <w:pStyle w:val="Bodytext21"/>
        <w:shd w:val="clear" w:color="auto" w:fill="auto"/>
        <w:spacing w:line="276" w:lineRule="auto"/>
        <w:ind w:firstLine="0"/>
        <w:jc w:val="both"/>
        <w:rPr>
          <w:lang w:val="ro-RO"/>
        </w:rPr>
      </w:pPr>
      <w:r>
        <w:rPr>
          <w:lang w:val="ro-RO"/>
        </w:rPr>
        <w:t>Consiliul Europei</w:t>
      </w:r>
      <w:hyperlink r:id="rId41" w:history="1">
        <w:r w:rsidRPr="00F5644D">
          <w:rPr>
            <w:lang w:val="ro-RO"/>
          </w:rPr>
          <w:t xml:space="preserve"> </w:t>
        </w:r>
        <w:r w:rsidRPr="00F5644D">
          <w:rPr>
            <w:rStyle w:val="Bodytext20"/>
            <w:rFonts w:eastAsia="Arial Unicode MS"/>
            <w:lang w:val="ro-RO"/>
          </w:rPr>
          <w:t>Recom</w:t>
        </w:r>
        <w:r>
          <w:rPr>
            <w:rStyle w:val="Bodytext20"/>
            <w:rFonts w:eastAsia="Arial Unicode MS"/>
            <w:lang w:val="ro-RO"/>
          </w:rPr>
          <w:t>a</w:t>
        </w:r>
        <w:r w:rsidRPr="00F5644D">
          <w:rPr>
            <w:rStyle w:val="Bodytext20"/>
            <w:rFonts w:eastAsia="Arial Unicode MS"/>
            <w:lang w:val="ro-RO"/>
          </w:rPr>
          <w:t>nda</w:t>
        </w:r>
        <w:r>
          <w:rPr>
            <w:rStyle w:val="Bodytext20"/>
            <w:rFonts w:eastAsia="Arial Unicode MS"/>
            <w:lang w:val="ro-RO"/>
          </w:rPr>
          <w:t>rea</w:t>
        </w:r>
        <w:r w:rsidRPr="00F5644D">
          <w:rPr>
            <w:rStyle w:val="Bodytext22"/>
            <w:rFonts w:eastAsia="Arial Unicode MS"/>
            <w:lang w:val="ro-RO"/>
          </w:rPr>
          <w:t xml:space="preserve"> </w:t>
        </w:r>
      </w:hyperlink>
      <w:r w:rsidRPr="00F5644D">
        <w:rPr>
          <w:lang w:val="ro-RO"/>
        </w:rPr>
        <w:t xml:space="preserve">Nr. R (2000) 21 </w:t>
      </w:r>
      <w:r>
        <w:rPr>
          <w:lang w:val="ro-RO"/>
        </w:rPr>
        <w:t>privind libertatea exercitării profesiei de avocat</w:t>
      </w:r>
      <w:r w:rsidRPr="00F5644D">
        <w:rPr>
          <w:lang w:val="ro-RO"/>
        </w:rPr>
        <w:t xml:space="preserve">, 25 </w:t>
      </w:r>
      <w:r>
        <w:rPr>
          <w:lang w:val="ro-RO"/>
        </w:rPr>
        <w:t>octombrie</w:t>
      </w:r>
      <w:r w:rsidRPr="00F5644D">
        <w:rPr>
          <w:lang w:val="ro-RO"/>
        </w:rPr>
        <w:t xml:space="preserve"> 2000.</w:t>
      </w:r>
    </w:p>
    <w:p w:rsidR="006660B9" w:rsidRPr="00F5644D" w:rsidRDefault="006660B9" w:rsidP="003A16ED">
      <w:pPr>
        <w:pStyle w:val="Bodytext21"/>
        <w:shd w:val="clear" w:color="auto" w:fill="auto"/>
        <w:spacing w:line="276" w:lineRule="auto"/>
        <w:ind w:firstLine="0"/>
        <w:jc w:val="both"/>
        <w:rPr>
          <w:lang w:val="ro-RO"/>
        </w:rPr>
      </w:pPr>
      <w:r>
        <w:rPr>
          <w:lang w:val="ro-RO"/>
        </w:rPr>
        <w:t>Consiliul Europei</w:t>
      </w:r>
      <w:r w:rsidRPr="00F5644D">
        <w:rPr>
          <w:lang w:val="ro-RO"/>
        </w:rPr>
        <w:t>,</w:t>
      </w:r>
      <w:hyperlink r:id="rId42" w:history="1">
        <w:r w:rsidRPr="00F5644D">
          <w:rPr>
            <w:lang w:val="ro-RO"/>
          </w:rPr>
          <w:t xml:space="preserve"> </w:t>
        </w:r>
        <w:r>
          <w:rPr>
            <w:rStyle w:val="Bodytext20"/>
            <w:rFonts w:eastAsia="Arial Unicode MS"/>
            <w:lang w:val="ro-RO"/>
          </w:rPr>
          <w:t>Convenţia europeană a drepturilor omului</w:t>
        </w:r>
        <w:r w:rsidRPr="00F5644D">
          <w:rPr>
            <w:lang w:val="ro-RO"/>
          </w:rPr>
          <w:t xml:space="preserve">, </w:t>
        </w:r>
      </w:hyperlink>
      <w:r w:rsidRPr="00F5644D">
        <w:rPr>
          <w:lang w:val="ro-RO"/>
        </w:rPr>
        <w:t>1950.</w:t>
      </w:r>
    </w:p>
    <w:p w:rsidR="006660B9" w:rsidRPr="00F5644D" w:rsidRDefault="006660B9" w:rsidP="003A16ED">
      <w:pPr>
        <w:pStyle w:val="Bodytext61"/>
        <w:shd w:val="clear" w:color="auto" w:fill="auto"/>
        <w:spacing w:line="276" w:lineRule="auto"/>
        <w:rPr>
          <w:lang w:val="ro-RO"/>
        </w:rPr>
      </w:pPr>
      <w:r>
        <w:rPr>
          <w:lang w:val="ro-RO"/>
        </w:rPr>
        <w:t>Legislaţie europeană</w:t>
      </w:r>
    </w:p>
    <w:p w:rsidR="006660B9" w:rsidRPr="00F5644D" w:rsidRDefault="004B250B" w:rsidP="003A16ED">
      <w:pPr>
        <w:pStyle w:val="Bodytext21"/>
        <w:shd w:val="clear" w:color="auto" w:fill="auto"/>
        <w:spacing w:line="276" w:lineRule="auto"/>
        <w:ind w:firstLine="0"/>
        <w:jc w:val="both"/>
        <w:rPr>
          <w:lang w:val="ro-RO"/>
        </w:rPr>
      </w:pPr>
      <w:hyperlink r:id="rId43" w:history="1">
        <w:r w:rsidR="006660B9" w:rsidRPr="00F5644D">
          <w:rPr>
            <w:rStyle w:val="Bodytext20"/>
            <w:rFonts w:eastAsia="Arial Unicode MS"/>
            <w:lang w:val="ro-RO"/>
          </w:rPr>
          <w:t>Directiv</w:t>
        </w:r>
        <w:r w:rsidR="006660B9">
          <w:rPr>
            <w:rStyle w:val="Bodytext20"/>
            <w:rFonts w:eastAsia="Arial Unicode MS"/>
            <w:lang w:val="ro-RO"/>
          </w:rPr>
          <w:t>a 2013/48/UE</w:t>
        </w:r>
        <w:r w:rsidR="006660B9" w:rsidRPr="00F5644D">
          <w:rPr>
            <w:rStyle w:val="Bodytext20"/>
            <w:rFonts w:eastAsia="Arial Unicode MS"/>
            <w:lang w:val="ro-RO"/>
          </w:rPr>
          <w:t xml:space="preserve"> </w:t>
        </w:r>
        <w:r w:rsidR="006660B9">
          <w:rPr>
            <w:rStyle w:val="Bodytext20"/>
            <w:rFonts w:eastAsia="Arial Unicode MS"/>
            <w:lang w:val="ro-RO"/>
          </w:rPr>
          <w:t xml:space="preserve">a Parlamentului European şi a Consiliului din </w:t>
        </w:r>
        <w:r w:rsidR="006660B9" w:rsidRPr="00F5644D">
          <w:rPr>
            <w:rStyle w:val="Bodytext20"/>
            <w:rFonts w:eastAsia="Arial Unicode MS"/>
            <w:lang w:val="ro-RO"/>
          </w:rPr>
          <w:t xml:space="preserve">22 </w:t>
        </w:r>
        <w:r w:rsidR="006660B9">
          <w:rPr>
            <w:rStyle w:val="Bodytext20"/>
            <w:rFonts w:eastAsia="Arial Unicode MS"/>
            <w:lang w:val="ro-RO"/>
          </w:rPr>
          <w:t>octombrie</w:t>
        </w:r>
        <w:r w:rsidR="006660B9" w:rsidRPr="00F5644D">
          <w:rPr>
            <w:rStyle w:val="Bodytext20"/>
            <w:rFonts w:eastAsia="Arial Unicode MS"/>
            <w:lang w:val="ro-RO"/>
          </w:rPr>
          <w:t xml:space="preserve"> 2013</w:t>
        </w:r>
        <w:r w:rsidR="006660B9" w:rsidRPr="00F5644D">
          <w:rPr>
            <w:rStyle w:val="Bodytext22"/>
            <w:rFonts w:eastAsia="Arial Unicode MS"/>
            <w:lang w:val="ro-RO"/>
          </w:rPr>
          <w:t xml:space="preserve"> </w:t>
        </w:r>
      </w:hyperlink>
      <w:r w:rsidR="006660B9">
        <w:rPr>
          <w:lang w:val="ro-RO"/>
        </w:rPr>
        <w:t>privind dreptul de a avea acces la un avocat</w:t>
      </w:r>
      <w:r w:rsidR="006660B9" w:rsidRPr="00F5644D">
        <w:rPr>
          <w:lang w:val="ro-RO"/>
        </w:rPr>
        <w:t xml:space="preserve"> </w:t>
      </w:r>
      <w:r w:rsidR="006660B9">
        <w:rPr>
          <w:lang w:val="ro-RO"/>
        </w:rPr>
        <w:t xml:space="preserve">în cadrul procedurilor penale şi al procedurilor privind mandatul european de arestare, precum şi dreptul ca o persoană terţă să fie informată în urma privării de libertate şi dreptul de a comunica cu persoane terţe şi cu autorităţi consulare în timpul privării de libertate </w:t>
      </w:r>
      <w:r w:rsidR="006660B9" w:rsidRPr="00F5644D">
        <w:rPr>
          <w:lang w:val="ro-RO"/>
        </w:rPr>
        <w:t>(OJ L 294/1).</w:t>
      </w:r>
    </w:p>
    <w:p w:rsidR="006660B9" w:rsidRPr="00F5644D" w:rsidRDefault="004B250B" w:rsidP="003A16ED">
      <w:pPr>
        <w:pStyle w:val="Bodytext21"/>
        <w:shd w:val="clear" w:color="auto" w:fill="auto"/>
        <w:spacing w:line="276" w:lineRule="auto"/>
        <w:ind w:firstLine="0"/>
        <w:jc w:val="both"/>
        <w:rPr>
          <w:lang w:val="ro-RO"/>
        </w:rPr>
      </w:pPr>
      <w:hyperlink r:id="rId44" w:history="1">
        <w:r w:rsidR="006660B9">
          <w:rPr>
            <w:rStyle w:val="Bodytext20"/>
            <w:rFonts w:eastAsia="Arial Unicode MS"/>
            <w:lang w:val="ro-RO"/>
          </w:rPr>
          <w:t>Carta drepturilor fundamentale a Uniunii Europene</w:t>
        </w:r>
        <w:r w:rsidR="006660B9" w:rsidRPr="00F5644D">
          <w:rPr>
            <w:lang w:val="ro-RO"/>
          </w:rPr>
          <w:t>,</w:t>
        </w:r>
      </w:hyperlink>
      <w:r w:rsidR="006660B9" w:rsidRPr="00F5644D">
        <w:rPr>
          <w:lang w:val="ro-RO"/>
        </w:rPr>
        <w:t xml:space="preserve"> 2000.</w:t>
      </w:r>
    </w:p>
    <w:p w:rsidR="006660B9" w:rsidRPr="00F5644D" w:rsidRDefault="004B250B" w:rsidP="003A16ED">
      <w:pPr>
        <w:pStyle w:val="Bodytext21"/>
        <w:shd w:val="clear" w:color="auto" w:fill="auto"/>
        <w:spacing w:line="276" w:lineRule="auto"/>
        <w:ind w:firstLine="0"/>
        <w:jc w:val="both"/>
        <w:rPr>
          <w:lang w:val="ro-RO"/>
        </w:rPr>
      </w:pPr>
      <w:hyperlink r:id="rId45" w:history="1">
        <w:r w:rsidR="006660B9" w:rsidRPr="00F5644D">
          <w:rPr>
            <w:rStyle w:val="Bodytext20"/>
            <w:rFonts w:eastAsia="Arial Unicode MS"/>
            <w:lang w:val="ro-RO"/>
          </w:rPr>
          <w:t>Directiv</w:t>
        </w:r>
        <w:r w:rsidR="006660B9">
          <w:rPr>
            <w:rStyle w:val="Bodytext20"/>
            <w:rFonts w:eastAsia="Arial Unicode MS"/>
            <w:lang w:val="ro-RO"/>
          </w:rPr>
          <w:t>a</w:t>
        </w:r>
        <w:r w:rsidR="006660B9" w:rsidRPr="00F5644D">
          <w:rPr>
            <w:rStyle w:val="Bodytext20"/>
            <w:rFonts w:eastAsia="Arial Unicode MS"/>
            <w:lang w:val="ro-RO"/>
          </w:rPr>
          <w:t xml:space="preserve"> 98/5/</w:t>
        </w:r>
        <w:r w:rsidR="006660B9">
          <w:rPr>
            <w:rStyle w:val="Bodytext20"/>
            <w:rFonts w:eastAsia="Arial Unicode MS"/>
            <w:lang w:val="ro-RO"/>
          </w:rPr>
          <w:t>CE</w:t>
        </w:r>
        <w:r w:rsidR="006660B9" w:rsidRPr="00F5644D">
          <w:rPr>
            <w:rStyle w:val="Bodytext20"/>
            <w:rFonts w:eastAsia="Arial Unicode MS"/>
            <w:lang w:val="ro-RO"/>
          </w:rPr>
          <w:t xml:space="preserve"> </w:t>
        </w:r>
        <w:r w:rsidR="006660B9">
          <w:rPr>
            <w:rStyle w:val="Bodytext20"/>
            <w:rFonts w:eastAsia="Arial Unicode MS"/>
            <w:lang w:val="ro-RO"/>
          </w:rPr>
          <w:t>a Parlamentului European şi a Consiliului din</w:t>
        </w:r>
        <w:r w:rsidR="006660B9" w:rsidRPr="00F5644D">
          <w:rPr>
            <w:rStyle w:val="Bodytext20"/>
            <w:rFonts w:eastAsia="Arial Unicode MS"/>
            <w:lang w:val="ro-RO"/>
          </w:rPr>
          <w:t xml:space="preserve"> 16</w:t>
        </w:r>
        <w:r w:rsidR="006660B9">
          <w:rPr>
            <w:rStyle w:val="Bodytext20"/>
            <w:rFonts w:eastAsia="Arial Unicode MS"/>
            <w:lang w:val="ro-RO"/>
          </w:rPr>
          <w:t xml:space="preserve"> februarie </w:t>
        </w:r>
        <w:r w:rsidR="006660B9" w:rsidRPr="00F5644D">
          <w:rPr>
            <w:rStyle w:val="Bodytext20"/>
            <w:rFonts w:eastAsia="Arial Unicode MS"/>
            <w:lang w:val="ro-RO"/>
          </w:rPr>
          <w:t>1998</w:t>
        </w:r>
        <w:r w:rsidR="006660B9" w:rsidRPr="00F5644D">
          <w:rPr>
            <w:lang w:val="ro-RO"/>
          </w:rPr>
          <w:t xml:space="preserve">, </w:t>
        </w:r>
      </w:hyperlink>
      <w:r w:rsidR="006660B9">
        <w:rPr>
          <w:lang w:val="ro-RO"/>
        </w:rPr>
        <w:t>de facilitare a exercitării cu caracter permanent</w:t>
      </w:r>
      <w:r w:rsidR="006660B9" w:rsidRPr="00F5644D">
        <w:rPr>
          <w:lang w:val="ro-RO"/>
        </w:rPr>
        <w:t xml:space="preserve"> </w:t>
      </w:r>
      <w:r w:rsidR="006660B9">
        <w:rPr>
          <w:lang w:val="ro-RO"/>
        </w:rPr>
        <w:t xml:space="preserve">a profesiei de avocat într-un stat membru, altul decât cel în care s-a obţinut calificarea </w:t>
      </w:r>
      <w:r w:rsidR="006660B9" w:rsidRPr="00F5644D">
        <w:rPr>
          <w:lang w:val="ro-RO"/>
        </w:rPr>
        <w:t>(OJ L 77/36).</w:t>
      </w:r>
    </w:p>
    <w:p w:rsidR="006660B9" w:rsidRPr="00F5644D" w:rsidRDefault="004B250B" w:rsidP="003A16ED">
      <w:pPr>
        <w:pStyle w:val="Bodytext21"/>
        <w:shd w:val="clear" w:color="auto" w:fill="auto"/>
        <w:spacing w:line="276" w:lineRule="auto"/>
        <w:ind w:firstLine="0"/>
        <w:jc w:val="both"/>
        <w:rPr>
          <w:lang w:val="ro-RO"/>
        </w:rPr>
      </w:pPr>
      <w:hyperlink r:id="rId46" w:history="1">
        <w:r w:rsidR="006660B9">
          <w:rPr>
            <w:rStyle w:val="Bodytext20"/>
            <w:rFonts w:eastAsia="Arial Unicode MS"/>
            <w:lang w:val="ro-RO"/>
          </w:rPr>
          <w:t>Directiva Consiliului</w:t>
        </w:r>
        <w:r w:rsidR="006660B9" w:rsidRPr="00F5644D">
          <w:rPr>
            <w:rStyle w:val="Bodytext20"/>
            <w:rFonts w:eastAsia="Arial Unicode MS"/>
            <w:lang w:val="ro-RO"/>
          </w:rPr>
          <w:t xml:space="preserve"> 77/249/</w:t>
        </w:r>
        <w:r w:rsidR="006660B9">
          <w:rPr>
            <w:rStyle w:val="Bodytext20"/>
            <w:rFonts w:eastAsia="Arial Unicode MS"/>
            <w:lang w:val="ro-RO"/>
          </w:rPr>
          <w:t>CEE</w:t>
        </w:r>
        <w:r w:rsidR="006660B9" w:rsidRPr="00F5644D">
          <w:rPr>
            <w:rStyle w:val="Bodytext20"/>
            <w:rFonts w:eastAsia="Arial Unicode MS"/>
            <w:lang w:val="ro-RO"/>
          </w:rPr>
          <w:t xml:space="preserve"> </w:t>
        </w:r>
        <w:r w:rsidR="006660B9">
          <w:rPr>
            <w:rStyle w:val="Bodytext20"/>
            <w:rFonts w:eastAsia="Arial Unicode MS"/>
            <w:lang w:val="ro-RO"/>
          </w:rPr>
          <w:t xml:space="preserve">din </w:t>
        </w:r>
        <w:r w:rsidR="006660B9" w:rsidRPr="00F5644D">
          <w:rPr>
            <w:rStyle w:val="Bodytext20"/>
            <w:rFonts w:eastAsia="Arial Unicode MS"/>
            <w:lang w:val="ro-RO"/>
          </w:rPr>
          <w:t>22</w:t>
        </w:r>
        <w:r w:rsidR="006660B9">
          <w:rPr>
            <w:rStyle w:val="Bodytext20"/>
            <w:rFonts w:eastAsia="Arial Unicode MS"/>
            <w:lang w:val="ro-RO"/>
          </w:rPr>
          <w:t xml:space="preserve"> martie</w:t>
        </w:r>
        <w:r w:rsidR="006660B9" w:rsidRPr="00F5644D">
          <w:rPr>
            <w:rStyle w:val="Bodytext20"/>
            <w:rFonts w:eastAsia="Arial Unicode MS"/>
            <w:lang w:val="ro-RO"/>
          </w:rPr>
          <w:t xml:space="preserve"> 1977</w:t>
        </w:r>
        <w:r w:rsidR="006660B9" w:rsidRPr="00F5644D">
          <w:rPr>
            <w:lang w:val="ro-RO"/>
          </w:rPr>
          <w:t xml:space="preserve">, </w:t>
        </w:r>
      </w:hyperlink>
      <w:r w:rsidR="006660B9">
        <w:rPr>
          <w:lang w:val="ro-RO"/>
        </w:rPr>
        <w:t>de facilitare a exercitării efective a libertăţii</w:t>
      </w:r>
      <w:r w:rsidR="006660B9" w:rsidRPr="00F5644D">
        <w:rPr>
          <w:lang w:val="ro-RO"/>
        </w:rPr>
        <w:t xml:space="preserve"> </w:t>
      </w:r>
      <w:r w:rsidR="006660B9">
        <w:rPr>
          <w:lang w:val="ro-RO"/>
        </w:rPr>
        <w:t xml:space="preserve">de a presta servicii de către avocaţi </w:t>
      </w:r>
      <w:r w:rsidR="006660B9" w:rsidRPr="00F5644D">
        <w:rPr>
          <w:lang w:val="ro-RO"/>
        </w:rPr>
        <w:t>(OJ L 78/17).</w:t>
      </w:r>
    </w:p>
    <w:p w:rsidR="006660B9" w:rsidRPr="00F5644D" w:rsidRDefault="006660B9" w:rsidP="003A16ED">
      <w:pPr>
        <w:pStyle w:val="Bodytext61"/>
        <w:shd w:val="clear" w:color="auto" w:fill="auto"/>
        <w:spacing w:line="276" w:lineRule="auto"/>
        <w:rPr>
          <w:lang w:val="ro-RO"/>
        </w:rPr>
      </w:pPr>
      <w:r>
        <w:rPr>
          <w:lang w:val="ro-RO"/>
        </w:rPr>
        <w:t>Parlamentul European</w:t>
      </w:r>
    </w:p>
    <w:p w:rsidR="006660B9" w:rsidRPr="00F5644D" w:rsidRDefault="004B250B" w:rsidP="003A16ED">
      <w:pPr>
        <w:pStyle w:val="Bodytext21"/>
        <w:shd w:val="clear" w:color="auto" w:fill="auto"/>
        <w:spacing w:line="276" w:lineRule="auto"/>
        <w:ind w:firstLine="0"/>
        <w:jc w:val="both"/>
        <w:rPr>
          <w:lang w:val="ro-RO"/>
        </w:rPr>
      </w:pPr>
      <w:hyperlink r:id="rId47" w:history="1">
        <w:r w:rsidR="006660B9" w:rsidRPr="00F5644D">
          <w:rPr>
            <w:rStyle w:val="Bodytext20"/>
            <w:rFonts w:eastAsia="Arial Unicode MS"/>
            <w:lang w:val="ro-RO"/>
          </w:rPr>
          <w:t>Re</w:t>
        </w:r>
        <w:r w:rsidR="006660B9">
          <w:rPr>
            <w:rStyle w:val="Bodytext20"/>
            <w:rFonts w:eastAsia="Arial Unicode MS"/>
            <w:lang w:val="ro-RO"/>
          </w:rPr>
          <w:t>zoluţia</w:t>
        </w:r>
        <w:r w:rsidR="006660B9" w:rsidRPr="00F5644D">
          <w:rPr>
            <w:rStyle w:val="Bodytext22"/>
            <w:rFonts w:eastAsia="Arial Unicode MS"/>
            <w:lang w:val="ro-RO"/>
          </w:rPr>
          <w:t xml:space="preserve"> </w:t>
        </w:r>
      </w:hyperlink>
      <w:r w:rsidR="006660B9">
        <w:rPr>
          <w:lang w:val="ro-RO"/>
        </w:rPr>
        <w:t>Parlamentului European</w:t>
      </w:r>
      <w:r w:rsidR="006660B9" w:rsidRPr="00F5644D">
        <w:rPr>
          <w:lang w:val="ro-RO"/>
        </w:rPr>
        <w:t xml:space="preserve"> </w:t>
      </w:r>
      <w:r w:rsidR="006660B9">
        <w:t>“</w:t>
      </w:r>
      <w:r w:rsidR="006660B9">
        <w:rPr>
          <w:lang w:val="ro-RO"/>
        </w:rPr>
        <w:t>Măsuri luate în urma rezoluţiei Parlamentului European din</w:t>
      </w:r>
      <w:r w:rsidR="006660B9" w:rsidRPr="0026264C">
        <w:rPr>
          <w:lang w:val="ro-RO"/>
        </w:rPr>
        <w:t xml:space="preserve"> 12 </w:t>
      </w:r>
      <w:r w:rsidR="006660B9">
        <w:rPr>
          <w:lang w:val="ro-RO"/>
        </w:rPr>
        <w:t>martie</w:t>
      </w:r>
      <w:r w:rsidR="006660B9" w:rsidRPr="0026264C">
        <w:rPr>
          <w:lang w:val="ro-RO"/>
        </w:rPr>
        <w:t xml:space="preserve"> 2014 </w:t>
      </w:r>
      <w:r w:rsidR="006660B9">
        <w:rPr>
          <w:lang w:val="ro-RO"/>
        </w:rPr>
        <w:t>privind supravegherea electronică de masă a cetăţenilor UE</w:t>
      </w:r>
      <w:r w:rsidR="006660B9">
        <w:t>”</w:t>
      </w:r>
      <w:r w:rsidR="006660B9" w:rsidRPr="0026264C">
        <w:rPr>
          <w:lang w:val="ro-RO"/>
        </w:rPr>
        <w:t xml:space="preserve">, 29 </w:t>
      </w:r>
      <w:r w:rsidR="006660B9">
        <w:rPr>
          <w:lang w:val="ro-RO"/>
        </w:rPr>
        <w:t>octombrie</w:t>
      </w:r>
      <w:r w:rsidR="006660B9" w:rsidRPr="0026264C">
        <w:rPr>
          <w:lang w:val="ro-RO"/>
        </w:rPr>
        <w:t xml:space="preserve"> </w:t>
      </w:r>
      <w:r w:rsidR="006660B9" w:rsidRPr="00F5644D">
        <w:rPr>
          <w:lang w:val="ro-RO"/>
        </w:rPr>
        <w:t>2015.</w:t>
      </w:r>
    </w:p>
    <w:p w:rsidR="006660B9" w:rsidRPr="00F5644D" w:rsidRDefault="006660B9" w:rsidP="003A16ED">
      <w:pPr>
        <w:pStyle w:val="Bodytext21"/>
        <w:shd w:val="clear" w:color="auto" w:fill="auto"/>
        <w:spacing w:line="276" w:lineRule="auto"/>
        <w:ind w:firstLine="0"/>
        <w:jc w:val="both"/>
        <w:rPr>
          <w:lang w:val="ro-RO"/>
        </w:rPr>
      </w:pPr>
      <w:r>
        <w:rPr>
          <w:lang w:val="ro-RO"/>
        </w:rPr>
        <w:t xml:space="preserve">Comisia </w:t>
      </w:r>
      <w:r w:rsidRPr="00F5644D">
        <w:rPr>
          <w:lang w:val="ro-RO"/>
        </w:rPr>
        <w:t xml:space="preserve">LIBE </w:t>
      </w:r>
      <w:r>
        <w:rPr>
          <w:lang w:val="ro-RO"/>
        </w:rPr>
        <w:t>al Parlamentului European</w:t>
      </w:r>
      <w:hyperlink r:id="rId48" w:history="1">
        <w:r w:rsidRPr="00F5644D">
          <w:rPr>
            <w:lang w:val="ro-RO"/>
          </w:rPr>
          <w:t xml:space="preserve"> </w:t>
        </w:r>
        <w:r w:rsidRPr="00F5644D">
          <w:rPr>
            <w:rStyle w:val="Bodytext20"/>
            <w:rFonts w:eastAsia="Arial Unicode MS"/>
            <w:lang w:val="ro-RO"/>
          </w:rPr>
          <w:t>Stud</w:t>
        </w:r>
        <w:r>
          <w:rPr>
            <w:rStyle w:val="Bodytext20"/>
            <w:rFonts w:eastAsia="Arial Unicode MS"/>
            <w:lang w:val="ro-RO"/>
          </w:rPr>
          <w:t>iu</w:t>
        </w:r>
        <w:r w:rsidRPr="00F5644D">
          <w:rPr>
            <w:lang w:val="ro-RO"/>
          </w:rPr>
          <w:t xml:space="preserve">, </w:t>
        </w:r>
      </w:hyperlink>
      <w:r w:rsidRPr="00F5644D">
        <w:rPr>
          <w:lang w:val="ro-RO"/>
        </w:rPr>
        <w:t>‘</w:t>
      </w:r>
      <w:r>
        <w:rPr>
          <w:lang w:val="ro-RO"/>
        </w:rPr>
        <w:t>Provocările infracţiunilor cibernetice pentru aplicarea legii</w:t>
      </w:r>
      <w:r w:rsidRPr="00F5644D">
        <w:rPr>
          <w:lang w:val="ro-RO"/>
        </w:rPr>
        <w:t xml:space="preserve">: </w:t>
      </w:r>
      <w:r>
        <w:rPr>
          <w:lang w:val="ro-RO"/>
        </w:rPr>
        <w:t>întrecere</w:t>
      </w:r>
      <w:r w:rsidRPr="00F5644D">
        <w:rPr>
          <w:lang w:val="ro-RO"/>
        </w:rPr>
        <w:t xml:space="preserve">?’, </w:t>
      </w:r>
      <w:r>
        <w:rPr>
          <w:lang w:val="ro-RO"/>
        </w:rPr>
        <w:t>octombrie</w:t>
      </w:r>
      <w:r w:rsidRPr="00F5644D">
        <w:rPr>
          <w:lang w:val="ro-RO"/>
        </w:rPr>
        <w:t xml:space="preserve"> 2015.</w:t>
      </w:r>
    </w:p>
    <w:p w:rsidR="006660B9" w:rsidRPr="00F5644D" w:rsidRDefault="006660B9" w:rsidP="003A16ED">
      <w:pPr>
        <w:pStyle w:val="Bodytext21"/>
        <w:shd w:val="clear" w:color="auto" w:fill="auto"/>
        <w:spacing w:line="276" w:lineRule="auto"/>
        <w:ind w:firstLine="0"/>
        <w:jc w:val="both"/>
        <w:rPr>
          <w:lang w:val="ro-RO"/>
        </w:rPr>
      </w:pPr>
      <w:r>
        <w:rPr>
          <w:lang w:val="ro-RO"/>
        </w:rPr>
        <w:t xml:space="preserve">Comisia </w:t>
      </w:r>
      <w:r w:rsidRPr="00F5644D">
        <w:rPr>
          <w:lang w:val="ro-RO"/>
        </w:rPr>
        <w:t xml:space="preserve">LIBE </w:t>
      </w:r>
      <w:r>
        <w:rPr>
          <w:lang w:val="ro-RO"/>
        </w:rPr>
        <w:t>al Parlamentului</w:t>
      </w:r>
      <w:r w:rsidRPr="00F5644D">
        <w:rPr>
          <w:lang w:val="ro-RO"/>
        </w:rPr>
        <w:t xml:space="preserve"> European</w:t>
      </w:r>
      <w:hyperlink r:id="rId49" w:history="1">
        <w:r w:rsidRPr="00F5644D">
          <w:rPr>
            <w:lang w:val="ro-RO"/>
          </w:rPr>
          <w:t xml:space="preserve"> </w:t>
        </w:r>
        <w:r w:rsidRPr="00F5644D">
          <w:rPr>
            <w:rStyle w:val="Bodytext20"/>
            <w:rFonts w:eastAsia="Arial Unicode MS"/>
            <w:lang w:val="ro-RO"/>
          </w:rPr>
          <w:t>Stud</w:t>
        </w:r>
        <w:r>
          <w:rPr>
            <w:rStyle w:val="Bodytext20"/>
            <w:rFonts w:eastAsia="Arial Unicode MS"/>
            <w:lang w:val="ro-RO"/>
          </w:rPr>
          <w:t>iu</w:t>
        </w:r>
        <w:r w:rsidRPr="00F5644D">
          <w:rPr>
            <w:lang w:val="ro-RO"/>
          </w:rPr>
          <w:t xml:space="preserve">, </w:t>
        </w:r>
      </w:hyperlink>
      <w:r w:rsidRPr="00F5644D">
        <w:rPr>
          <w:lang w:val="ro-RO"/>
        </w:rPr>
        <w:t>‘</w:t>
      </w:r>
      <w:r>
        <w:rPr>
          <w:lang w:val="ro-RO"/>
        </w:rPr>
        <w:t>Securitatea cibernetică în Uniunea Europeană şi nu numai</w:t>
      </w:r>
      <w:r w:rsidRPr="00F5644D">
        <w:rPr>
          <w:lang w:val="ro-RO"/>
        </w:rPr>
        <w:t xml:space="preserve">: </w:t>
      </w:r>
      <w:r>
        <w:rPr>
          <w:lang w:val="ro-RO"/>
        </w:rPr>
        <w:t>explorarea ameninţărilor şi politicilor în domeniu</w:t>
      </w:r>
      <w:r w:rsidRPr="00F5644D">
        <w:rPr>
          <w:lang w:val="ro-RO"/>
        </w:rPr>
        <w:t xml:space="preserve">, </w:t>
      </w:r>
      <w:r>
        <w:rPr>
          <w:lang w:val="ro-RO"/>
        </w:rPr>
        <w:t>septembrie</w:t>
      </w:r>
      <w:r w:rsidRPr="00F5644D">
        <w:rPr>
          <w:lang w:val="ro-RO"/>
        </w:rPr>
        <w:t xml:space="preserve"> 2015.</w:t>
      </w:r>
    </w:p>
    <w:p w:rsidR="006660B9" w:rsidRPr="00F5644D" w:rsidRDefault="004B250B" w:rsidP="003A16ED">
      <w:pPr>
        <w:pStyle w:val="Bodytext21"/>
        <w:shd w:val="clear" w:color="auto" w:fill="auto"/>
        <w:spacing w:line="276" w:lineRule="auto"/>
        <w:ind w:firstLine="0"/>
        <w:jc w:val="both"/>
        <w:rPr>
          <w:lang w:val="ro-RO"/>
        </w:rPr>
      </w:pPr>
      <w:hyperlink r:id="rId50" w:history="1">
        <w:r w:rsidR="006660B9" w:rsidRPr="00F5644D">
          <w:rPr>
            <w:rStyle w:val="Bodytext20"/>
            <w:rFonts w:eastAsia="Arial Unicode MS"/>
            <w:lang w:val="ro-RO"/>
          </w:rPr>
          <w:t>Re</w:t>
        </w:r>
        <w:r w:rsidR="006660B9">
          <w:rPr>
            <w:rStyle w:val="Bodytext20"/>
            <w:rFonts w:eastAsia="Arial Unicode MS"/>
            <w:lang w:val="ro-RO"/>
          </w:rPr>
          <w:t>z</w:t>
        </w:r>
        <w:r w:rsidR="006660B9" w:rsidRPr="00F5644D">
          <w:rPr>
            <w:rStyle w:val="Bodytext20"/>
            <w:rFonts w:eastAsia="Arial Unicode MS"/>
            <w:lang w:val="ro-RO"/>
          </w:rPr>
          <w:t>olu</w:t>
        </w:r>
        <w:r w:rsidR="006660B9">
          <w:rPr>
            <w:rStyle w:val="Bodytext20"/>
            <w:rFonts w:eastAsia="Arial Unicode MS"/>
            <w:lang w:val="ro-RO"/>
          </w:rPr>
          <w:t>ţia</w:t>
        </w:r>
        <w:r w:rsidR="006660B9" w:rsidRPr="00F5644D">
          <w:rPr>
            <w:rStyle w:val="Bodytext22"/>
            <w:rFonts w:eastAsia="Arial Unicode MS"/>
            <w:lang w:val="ro-RO"/>
          </w:rPr>
          <w:t xml:space="preserve"> </w:t>
        </w:r>
      </w:hyperlink>
      <w:r w:rsidR="006660B9" w:rsidRPr="00A81CB2">
        <w:rPr>
          <w:lang w:val="ro-RO"/>
        </w:rPr>
        <w:t xml:space="preserve"> </w:t>
      </w:r>
      <w:r w:rsidR="006660B9">
        <w:rPr>
          <w:lang w:val="ro-RO"/>
        </w:rPr>
        <w:t>Parlamentului European</w:t>
      </w:r>
      <w:r w:rsidR="006660B9" w:rsidRPr="00F5644D">
        <w:rPr>
          <w:lang w:val="ro-RO"/>
        </w:rPr>
        <w:t xml:space="preserve"> </w:t>
      </w:r>
      <w:r w:rsidR="006660B9">
        <w:rPr>
          <w:lang w:val="ro-RO"/>
        </w:rPr>
        <w:t>privind programul de supraveghere al NSA a SUA, organismele de supraveghere din diferite state membre şi impactul acestora asupra drepturilor fundamentale ale cetăţenilor UE şi a cooperării transatlantice în materie de justiţie şi de afaceri interne</w:t>
      </w:r>
      <w:r w:rsidR="006660B9" w:rsidRPr="00F5644D">
        <w:rPr>
          <w:lang w:val="ro-RO"/>
        </w:rPr>
        <w:t xml:space="preserve">, 12 </w:t>
      </w:r>
      <w:r w:rsidR="006660B9">
        <w:rPr>
          <w:lang w:val="ro-RO"/>
        </w:rPr>
        <w:t>martie</w:t>
      </w:r>
      <w:r w:rsidR="006660B9" w:rsidRPr="00F5644D">
        <w:rPr>
          <w:lang w:val="ro-RO"/>
        </w:rPr>
        <w:t xml:space="preserve"> 2014.</w:t>
      </w:r>
    </w:p>
    <w:p w:rsidR="006660B9" w:rsidRPr="00F5644D" w:rsidRDefault="006660B9" w:rsidP="003A16ED">
      <w:pPr>
        <w:pStyle w:val="Bodytext61"/>
        <w:shd w:val="clear" w:color="auto" w:fill="auto"/>
        <w:spacing w:line="276" w:lineRule="auto"/>
        <w:rPr>
          <w:lang w:val="ro-RO"/>
        </w:rPr>
      </w:pPr>
      <w:r>
        <w:rPr>
          <w:lang w:val="ro-RO"/>
        </w:rPr>
        <w:t>Organizaţia Naţiunilor Unite</w:t>
      </w:r>
    </w:p>
    <w:p w:rsidR="006660B9" w:rsidRPr="00F5644D" w:rsidRDefault="006660B9" w:rsidP="003A16ED">
      <w:pPr>
        <w:pStyle w:val="Bodytext21"/>
        <w:shd w:val="clear" w:color="auto" w:fill="auto"/>
        <w:spacing w:line="276" w:lineRule="auto"/>
        <w:ind w:firstLine="0"/>
        <w:jc w:val="both"/>
        <w:rPr>
          <w:lang w:val="ro-RO"/>
        </w:rPr>
      </w:pPr>
      <w:r>
        <w:rPr>
          <w:lang w:val="ro-RO"/>
        </w:rPr>
        <w:t xml:space="preserve">Consiliul pentru drepturile omului al Organizaţiei Naţiunilor Unite </w:t>
      </w:r>
      <w:r w:rsidRPr="00F5644D">
        <w:rPr>
          <w:rStyle w:val="Bodytext20"/>
          <w:rFonts w:eastAsia="Arial Unicode MS"/>
          <w:lang w:val="ro-RO"/>
        </w:rPr>
        <w:t>Re</w:t>
      </w:r>
      <w:r>
        <w:rPr>
          <w:rStyle w:val="Bodytext20"/>
          <w:rFonts w:eastAsia="Arial Unicode MS"/>
          <w:lang w:val="ro-RO"/>
        </w:rPr>
        <w:t>z</w:t>
      </w:r>
      <w:r w:rsidRPr="00F5644D">
        <w:rPr>
          <w:rStyle w:val="Bodytext20"/>
          <w:rFonts w:eastAsia="Arial Unicode MS"/>
          <w:lang w:val="ro-RO"/>
        </w:rPr>
        <w:t>olu</w:t>
      </w:r>
      <w:r>
        <w:rPr>
          <w:rStyle w:val="Bodytext20"/>
          <w:rFonts w:eastAsia="Arial Unicode MS"/>
          <w:lang w:val="ro-RO"/>
        </w:rPr>
        <w:t>ţie</w:t>
      </w:r>
      <w:r w:rsidRPr="00F5644D">
        <w:rPr>
          <w:lang w:val="ro-RO"/>
        </w:rPr>
        <w:t>, ‘</w:t>
      </w:r>
      <w:r>
        <w:rPr>
          <w:lang w:val="ro-RO"/>
        </w:rPr>
        <w:t>Dreptul la viaţă privată în epoca digitală</w:t>
      </w:r>
      <w:r w:rsidRPr="00F5644D">
        <w:rPr>
          <w:lang w:val="ro-RO"/>
        </w:rPr>
        <w:t xml:space="preserve">’, 24 </w:t>
      </w:r>
      <w:r>
        <w:rPr>
          <w:lang w:val="ro-RO"/>
        </w:rPr>
        <w:t>martie</w:t>
      </w:r>
      <w:r w:rsidRPr="00F5644D">
        <w:rPr>
          <w:lang w:val="ro-RO"/>
        </w:rPr>
        <w:t xml:space="preserve"> 2015.</w:t>
      </w:r>
    </w:p>
    <w:p w:rsidR="006660B9" w:rsidRPr="00F5644D" w:rsidRDefault="006660B9" w:rsidP="003A16ED">
      <w:pPr>
        <w:pStyle w:val="Bodytext61"/>
        <w:shd w:val="clear" w:color="auto" w:fill="auto"/>
        <w:spacing w:line="276" w:lineRule="auto"/>
        <w:rPr>
          <w:lang w:val="ro-RO"/>
        </w:rPr>
      </w:pPr>
      <w:r>
        <w:rPr>
          <w:lang w:val="ro-RO"/>
        </w:rPr>
        <w:t>Rapoarte şi articole</w:t>
      </w:r>
    </w:p>
    <w:p w:rsidR="006660B9" w:rsidRPr="00F5644D" w:rsidRDefault="004B250B" w:rsidP="003A16ED">
      <w:pPr>
        <w:pStyle w:val="Bodytext21"/>
        <w:shd w:val="clear" w:color="auto" w:fill="auto"/>
        <w:spacing w:line="276" w:lineRule="auto"/>
        <w:ind w:firstLine="0"/>
        <w:jc w:val="both"/>
        <w:rPr>
          <w:lang w:val="ro-RO"/>
        </w:rPr>
      </w:pPr>
      <w:hyperlink r:id="rId51" w:history="1">
        <w:r w:rsidR="006660B9" w:rsidRPr="00F5644D">
          <w:rPr>
            <w:rStyle w:val="Bodytext20"/>
            <w:rFonts w:eastAsia="Arial Unicode MS"/>
            <w:lang w:val="ro-RO"/>
          </w:rPr>
          <w:t>Ten standards for oversight and transparency of national intelligence services</w:t>
        </w:r>
        <w:r w:rsidR="006660B9">
          <w:rPr>
            <w:rStyle w:val="Bodytext20"/>
            <w:rFonts w:eastAsia="Arial Unicode MS"/>
            <w:lang w:val="ro-RO"/>
          </w:rPr>
          <w:t xml:space="preserve"> (Zece standarde privind supravegherea şi transparenţa serviciilor de informaţii naţionale)</w:t>
        </w:r>
        <w:r w:rsidR="006660B9" w:rsidRPr="00F5644D">
          <w:rPr>
            <w:lang w:val="ro-RO"/>
          </w:rPr>
          <w:t xml:space="preserve">, </w:t>
        </w:r>
      </w:hyperlink>
      <w:r w:rsidR="006660B9">
        <w:rPr>
          <w:lang w:val="ro-RO"/>
        </w:rPr>
        <w:t>Universitatea din</w:t>
      </w:r>
      <w:r w:rsidR="006660B9" w:rsidRPr="00F5644D">
        <w:rPr>
          <w:lang w:val="ro-RO"/>
        </w:rPr>
        <w:t xml:space="preserve"> Amsterdam, 2015.</w:t>
      </w:r>
    </w:p>
    <w:p w:rsidR="006660B9" w:rsidRPr="00F5644D" w:rsidRDefault="006660B9" w:rsidP="003A16ED">
      <w:pPr>
        <w:pStyle w:val="Bodytext21"/>
        <w:shd w:val="clear" w:color="auto" w:fill="auto"/>
        <w:spacing w:line="276" w:lineRule="auto"/>
        <w:ind w:firstLine="0"/>
        <w:jc w:val="both"/>
        <w:rPr>
          <w:lang w:val="ro-RO"/>
        </w:rPr>
      </w:pPr>
      <w:r w:rsidRPr="00F5644D">
        <w:rPr>
          <w:lang w:val="ro-RO"/>
        </w:rPr>
        <w:t xml:space="preserve">Peter Carter QC </w:t>
      </w:r>
      <w:r>
        <w:rPr>
          <w:lang w:val="ro-RO"/>
        </w:rPr>
        <w:t>şi</w:t>
      </w:r>
      <w:r w:rsidRPr="00F5644D">
        <w:rPr>
          <w:lang w:val="ro-RO"/>
        </w:rPr>
        <w:t xml:space="preserve"> Bankim Thanki QC, ‘Legal Professional Privilege - The Law in Summary’</w:t>
      </w:r>
      <w:r>
        <w:rPr>
          <w:lang w:val="ro-RO"/>
        </w:rPr>
        <w:t xml:space="preserve"> (Privilegiul profesiei juridice – legislaţia pe scurt)</w:t>
      </w:r>
      <w:r w:rsidRPr="00F5644D">
        <w:rPr>
          <w:lang w:val="ro-RO"/>
        </w:rPr>
        <w:t xml:space="preserve">, </w:t>
      </w:r>
      <w:r>
        <w:rPr>
          <w:lang w:val="ro-RO"/>
        </w:rPr>
        <w:t>document de informare</w:t>
      </w:r>
      <w:r w:rsidRPr="00F5644D">
        <w:rPr>
          <w:lang w:val="ro-RO"/>
        </w:rPr>
        <w:t>, 2015.</w:t>
      </w:r>
    </w:p>
    <w:p w:rsidR="006660B9" w:rsidRPr="00F5644D" w:rsidRDefault="006660B9" w:rsidP="003A16ED">
      <w:pPr>
        <w:pStyle w:val="Bodytext21"/>
        <w:shd w:val="clear" w:color="auto" w:fill="auto"/>
        <w:spacing w:line="276" w:lineRule="auto"/>
        <w:ind w:firstLine="0"/>
        <w:jc w:val="both"/>
        <w:rPr>
          <w:lang w:val="ro-RO"/>
        </w:rPr>
      </w:pPr>
      <w:r>
        <w:rPr>
          <w:lang w:val="ro-RO"/>
        </w:rPr>
        <w:t>Raportul şi Recomandările preşedintelui Grupului de analiză a informaţiilor şi tehnologiei comunicaţiilor din SUA</w:t>
      </w:r>
      <w:r w:rsidRPr="00F5644D">
        <w:rPr>
          <w:lang w:val="ro-RO"/>
        </w:rPr>
        <w:t>,</w:t>
      </w:r>
      <w:hyperlink r:id="rId52" w:history="1">
        <w:r w:rsidRPr="00F5644D">
          <w:rPr>
            <w:lang w:val="ro-RO"/>
          </w:rPr>
          <w:t xml:space="preserve"> ‘</w:t>
        </w:r>
        <w:r w:rsidRPr="00F5644D">
          <w:rPr>
            <w:rStyle w:val="Bodytext20"/>
            <w:rFonts w:eastAsia="Arial Unicode MS"/>
            <w:lang w:val="ro-RO"/>
          </w:rPr>
          <w:t>Liberty and Security in a Changing World’</w:t>
        </w:r>
        <w:r>
          <w:rPr>
            <w:rStyle w:val="Bodytext20"/>
            <w:rFonts w:eastAsia="Arial Unicode MS"/>
            <w:lang w:val="ro-RO"/>
          </w:rPr>
          <w:t xml:space="preserve"> (Libertate şi securitate într-o lume în schimbare)</w:t>
        </w:r>
        <w:r w:rsidRPr="00F5644D">
          <w:rPr>
            <w:lang w:val="ro-RO"/>
          </w:rPr>
          <w:t>,</w:t>
        </w:r>
      </w:hyperlink>
      <w:r w:rsidRPr="00F5644D">
        <w:rPr>
          <w:lang w:val="ro-RO"/>
        </w:rPr>
        <w:t xml:space="preserve"> 2013.</w:t>
      </w:r>
    </w:p>
    <w:p w:rsidR="006660B9" w:rsidRPr="00F5644D" w:rsidRDefault="004B250B" w:rsidP="003A16ED">
      <w:pPr>
        <w:pStyle w:val="Bodytext21"/>
        <w:shd w:val="clear" w:color="auto" w:fill="auto"/>
        <w:spacing w:line="276" w:lineRule="auto"/>
        <w:ind w:firstLine="0"/>
        <w:jc w:val="both"/>
        <w:rPr>
          <w:lang w:val="ro-RO"/>
        </w:rPr>
      </w:pPr>
      <w:hyperlink r:id="rId53" w:history="1">
        <w:r w:rsidR="006660B9" w:rsidRPr="00F5644D">
          <w:rPr>
            <w:lang w:val="ro-RO"/>
          </w:rPr>
          <w:t>‘</w:t>
        </w:r>
        <w:r w:rsidR="006660B9" w:rsidRPr="00F5644D">
          <w:rPr>
            <w:rStyle w:val="Bodytext20"/>
            <w:rFonts w:eastAsia="Arial Unicode MS"/>
            <w:lang w:val="ro-RO"/>
          </w:rPr>
          <w:t>Regulated legal professionals and professional privilege within the European Union, the European</w:t>
        </w:r>
      </w:hyperlink>
      <w:r w:rsidR="006660B9" w:rsidRPr="00F5644D">
        <w:rPr>
          <w:rStyle w:val="Bodytext20"/>
          <w:rFonts w:eastAsia="Arial Unicode MS"/>
          <w:lang w:val="ro-RO"/>
        </w:rPr>
        <w:t xml:space="preserve"> </w:t>
      </w:r>
      <w:hyperlink r:id="rId54" w:history="1">
        <w:r w:rsidR="006660B9" w:rsidRPr="00F5644D">
          <w:rPr>
            <w:rStyle w:val="Bodytext20"/>
            <w:rFonts w:eastAsia="Arial Unicode MS"/>
            <w:lang w:val="ro-RO"/>
          </w:rPr>
          <w:t>Economic Area and Switzerland, and certain other European jurisdictions</w:t>
        </w:r>
        <w:r w:rsidR="006660B9" w:rsidRPr="00F5644D">
          <w:rPr>
            <w:lang w:val="ro-RO"/>
          </w:rPr>
          <w:t>’</w:t>
        </w:r>
      </w:hyperlink>
      <w:r w:rsidR="006660B9">
        <w:t xml:space="preserve"> (</w:t>
      </w:r>
      <w:r w:rsidR="006660B9" w:rsidRPr="00F36BF2">
        <w:rPr>
          <w:lang w:val="ro-RO"/>
        </w:rPr>
        <w:t>Profesioni</w:t>
      </w:r>
      <w:r w:rsidR="006660B9">
        <w:rPr>
          <w:lang w:val="ro-RO"/>
        </w:rPr>
        <w:t>ş</w:t>
      </w:r>
      <w:r w:rsidR="006660B9" w:rsidRPr="00F36BF2">
        <w:rPr>
          <w:lang w:val="ro-RO"/>
        </w:rPr>
        <w:t>tii din domeniul juridic reglementa</w:t>
      </w:r>
      <w:r w:rsidR="006660B9">
        <w:rPr>
          <w:lang w:val="ro-RO"/>
        </w:rPr>
        <w:t>ţ</w:t>
      </w:r>
      <w:r w:rsidR="006660B9" w:rsidRPr="00F36BF2">
        <w:rPr>
          <w:lang w:val="ro-RO"/>
        </w:rPr>
        <w:t xml:space="preserve">i </w:t>
      </w:r>
      <w:r w:rsidR="006660B9">
        <w:rPr>
          <w:lang w:val="ro-RO"/>
        </w:rPr>
        <w:t>ş</w:t>
      </w:r>
      <w:r w:rsidR="006660B9" w:rsidRPr="00F36BF2">
        <w:rPr>
          <w:lang w:val="ro-RO"/>
        </w:rPr>
        <w:t xml:space="preserve">i privilegiul </w:t>
      </w:r>
      <w:r w:rsidR="006660B9">
        <w:rPr>
          <w:lang w:val="ro-RO"/>
        </w:rPr>
        <w:t>profes</w:t>
      </w:r>
      <w:r w:rsidR="006660B9" w:rsidRPr="00F36BF2">
        <w:rPr>
          <w:lang w:val="ro-RO"/>
        </w:rPr>
        <w:t>ional în Uniunea Europeană, Spa</w:t>
      </w:r>
      <w:r w:rsidR="006660B9">
        <w:rPr>
          <w:lang w:val="ro-RO"/>
        </w:rPr>
        <w:t>ţ</w:t>
      </w:r>
      <w:r w:rsidR="006660B9" w:rsidRPr="00F36BF2">
        <w:rPr>
          <w:lang w:val="ro-RO"/>
        </w:rPr>
        <w:t xml:space="preserve">iul Economic European </w:t>
      </w:r>
      <w:r w:rsidR="006660B9">
        <w:rPr>
          <w:lang w:val="ro-RO"/>
        </w:rPr>
        <w:t>ş</w:t>
      </w:r>
      <w:r w:rsidR="006660B9" w:rsidRPr="00F36BF2">
        <w:rPr>
          <w:lang w:val="ro-RO"/>
        </w:rPr>
        <w:t>i Elve</w:t>
      </w:r>
      <w:r w:rsidR="006660B9">
        <w:rPr>
          <w:lang w:val="ro-RO"/>
        </w:rPr>
        <w:t>ţ</w:t>
      </w:r>
      <w:r w:rsidR="006660B9" w:rsidRPr="00F36BF2">
        <w:rPr>
          <w:lang w:val="ro-RO"/>
        </w:rPr>
        <w:t xml:space="preserve">ia </w:t>
      </w:r>
      <w:r w:rsidR="006660B9">
        <w:rPr>
          <w:lang w:val="ro-RO"/>
        </w:rPr>
        <w:t>ş</w:t>
      </w:r>
      <w:r w:rsidR="006660B9" w:rsidRPr="00F36BF2">
        <w:rPr>
          <w:lang w:val="ro-RO"/>
        </w:rPr>
        <w:t>i alte jurisdic</w:t>
      </w:r>
      <w:r w:rsidR="006660B9">
        <w:rPr>
          <w:lang w:val="ro-RO"/>
        </w:rPr>
        <w:t>ţ</w:t>
      </w:r>
      <w:r w:rsidR="006660B9" w:rsidRPr="00F36BF2">
        <w:rPr>
          <w:lang w:val="ro-RO"/>
        </w:rPr>
        <w:t>ii europene</w:t>
      </w:r>
      <w:r w:rsidR="006660B9">
        <w:t>)</w:t>
      </w:r>
      <w:r w:rsidR="006660B9" w:rsidRPr="00F5644D">
        <w:rPr>
          <w:lang w:val="ro-RO"/>
        </w:rPr>
        <w:t>, CCBE, John Fish, 2004.</w:t>
      </w:r>
    </w:p>
    <w:p w:rsidR="006660B9" w:rsidRPr="00F5644D" w:rsidRDefault="004B250B" w:rsidP="003A16ED">
      <w:pPr>
        <w:pStyle w:val="Bodytext21"/>
        <w:shd w:val="clear" w:color="auto" w:fill="auto"/>
        <w:spacing w:line="276" w:lineRule="auto"/>
        <w:ind w:firstLine="0"/>
        <w:jc w:val="both"/>
        <w:rPr>
          <w:lang w:val="ro-RO"/>
        </w:rPr>
      </w:pPr>
      <w:hyperlink r:id="rId55" w:history="1">
        <w:r w:rsidR="006660B9" w:rsidRPr="00F5644D">
          <w:rPr>
            <w:lang w:val="ro-RO"/>
          </w:rPr>
          <w:t>‘</w:t>
        </w:r>
        <w:r w:rsidR="006660B9" w:rsidRPr="00F5644D">
          <w:rPr>
            <w:rStyle w:val="Bodytext20"/>
            <w:rFonts w:eastAsia="Arial Unicode MS"/>
            <w:lang w:val="ro-RO"/>
          </w:rPr>
          <w:t>Update of the Edward's Report on the professional secret, confidentiality and legal professional privilege</w:t>
        </w:r>
      </w:hyperlink>
      <w:r w:rsidR="006660B9" w:rsidRPr="00F5644D">
        <w:rPr>
          <w:rStyle w:val="Bodytext20"/>
          <w:rFonts w:eastAsia="Arial Unicode MS"/>
          <w:lang w:val="ro-RO"/>
        </w:rPr>
        <w:t xml:space="preserve"> </w:t>
      </w:r>
      <w:hyperlink r:id="rId56" w:history="1">
        <w:r w:rsidR="006660B9" w:rsidRPr="00F5644D">
          <w:rPr>
            <w:rStyle w:val="Bodytext20"/>
            <w:rFonts w:eastAsia="Arial Unicode MS"/>
            <w:lang w:val="ro-RO"/>
          </w:rPr>
          <w:t>in Europe</w:t>
        </w:r>
        <w:r w:rsidR="006660B9" w:rsidRPr="00F5644D">
          <w:rPr>
            <w:lang w:val="ro-RO"/>
          </w:rPr>
          <w:t>’</w:t>
        </w:r>
      </w:hyperlink>
      <w:r w:rsidR="006660B9">
        <w:t xml:space="preserve"> (</w:t>
      </w:r>
      <w:r w:rsidR="006660B9" w:rsidRPr="00B11C54">
        <w:rPr>
          <w:lang w:val="ro-RO"/>
        </w:rPr>
        <w:t xml:space="preserve">Actualizarea raportului Edward privind secretul </w:t>
      </w:r>
      <w:r w:rsidR="006660B9">
        <w:rPr>
          <w:lang w:val="ro-RO"/>
        </w:rPr>
        <w:t>profes</w:t>
      </w:r>
      <w:r w:rsidR="006660B9" w:rsidRPr="00B11C54">
        <w:rPr>
          <w:lang w:val="ro-RO"/>
        </w:rPr>
        <w:t>ional, confiden</w:t>
      </w:r>
      <w:r w:rsidR="006660B9">
        <w:rPr>
          <w:lang w:val="ro-RO"/>
        </w:rPr>
        <w:t>ţ</w:t>
      </w:r>
      <w:r w:rsidR="006660B9" w:rsidRPr="00B11C54">
        <w:rPr>
          <w:lang w:val="ro-RO"/>
        </w:rPr>
        <w:t xml:space="preserve">ialitatea </w:t>
      </w:r>
      <w:r w:rsidR="006660B9">
        <w:rPr>
          <w:lang w:val="ro-RO"/>
        </w:rPr>
        <w:t>ş</w:t>
      </w:r>
      <w:r w:rsidR="006660B9" w:rsidRPr="00B11C54">
        <w:rPr>
          <w:lang w:val="ro-RO"/>
        </w:rPr>
        <w:t>i privilegiul profesiei juridice în Europa</w:t>
      </w:r>
      <w:r w:rsidR="006660B9">
        <w:t>)</w:t>
      </w:r>
      <w:r w:rsidR="006660B9" w:rsidRPr="00F5644D">
        <w:rPr>
          <w:lang w:val="ro-RO"/>
        </w:rPr>
        <w:t>, CCBE, 2003.</w:t>
      </w:r>
    </w:p>
    <w:p w:rsidR="006660B9" w:rsidRPr="00F5644D" w:rsidRDefault="006660B9" w:rsidP="003A16ED">
      <w:pPr>
        <w:pStyle w:val="Bodytext21"/>
        <w:shd w:val="clear" w:color="auto" w:fill="auto"/>
        <w:spacing w:line="276" w:lineRule="auto"/>
        <w:ind w:firstLine="0"/>
        <w:jc w:val="both"/>
        <w:rPr>
          <w:lang w:val="ro-RO"/>
        </w:rPr>
      </w:pPr>
      <w:r w:rsidRPr="00F5644D">
        <w:rPr>
          <w:lang w:val="ro-RO"/>
        </w:rPr>
        <w:t>Eric Gippini-Fournier,</w:t>
      </w:r>
      <w:hyperlink r:id="rId57" w:history="1">
        <w:r w:rsidRPr="00F5644D">
          <w:rPr>
            <w:lang w:val="ro-RO"/>
          </w:rPr>
          <w:t xml:space="preserve"> ‘</w:t>
        </w:r>
        <w:r w:rsidRPr="00F5644D">
          <w:rPr>
            <w:rStyle w:val="Bodytext20"/>
            <w:rFonts w:eastAsia="Arial Unicode MS"/>
            <w:lang w:val="ro-RO"/>
          </w:rPr>
          <w:t>Legal Professional Privilege in Competition Proceedings Before the European</w:t>
        </w:r>
      </w:hyperlink>
      <w:r w:rsidRPr="00F5644D">
        <w:rPr>
          <w:rStyle w:val="Bodytext20"/>
          <w:rFonts w:eastAsia="Arial Unicode MS"/>
          <w:lang w:val="ro-RO"/>
        </w:rPr>
        <w:t xml:space="preserve"> </w:t>
      </w:r>
      <w:hyperlink r:id="rId58" w:history="1">
        <w:r w:rsidRPr="00F5644D">
          <w:rPr>
            <w:rStyle w:val="Bodytext20"/>
            <w:rFonts w:eastAsia="Arial Unicode MS"/>
            <w:lang w:val="ro-RO"/>
          </w:rPr>
          <w:t>Commission: Beyond the Cursory Glance’</w:t>
        </w:r>
        <w:r>
          <w:rPr>
            <w:rStyle w:val="Bodytext20"/>
            <w:rFonts w:eastAsia="Arial Unicode MS"/>
            <w:lang w:val="ro-RO"/>
          </w:rPr>
          <w:t xml:space="preserve"> (Privilegiul profesiei juridice în cadrul procedurilor în domeniul concurenţei în faţa Comisiei Europene: Dincolo de prima privire)</w:t>
        </w:r>
        <w:r w:rsidRPr="00F5644D">
          <w:rPr>
            <w:lang w:val="ro-RO"/>
          </w:rPr>
          <w:t>,</w:t>
        </w:r>
      </w:hyperlink>
      <w:r w:rsidRPr="00F5644D">
        <w:rPr>
          <w:lang w:val="ro-RO"/>
        </w:rPr>
        <w:t xml:space="preserve"> Fordham International Law Journal, </w:t>
      </w:r>
      <w:r>
        <w:rPr>
          <w:lang w:val="ro-RO"/>
        </w:rPr>
        <w:t>volumul</w:t>
      </w:r>
      <w:r w:rsidRPr="00F5644D">
        <w:rPr>
          <w:lang w:val="ro-RO"/>
        </w:rPr>
        <w:t xml:space="preserve"> 28, </w:t>
      </w:r>
      <w:r>
        <w:rPr>
          <w:lang w:val="ro-RO"/>
        </w:rPr>
        <w:t>numărul</w:t>
      </w:r>
      <w:r w:rsidRPr="00F5644D">
        <w:rPr>
          <w:lang w:val="ro-RO"/>
        </w:rPr>
        <w:t xml:space="preserve"> 4, 2004.</w:t>
      </w:r>
    </w:p>
    <w:p w:rsidR="006660B9" w:rsidRPr="00F5644D" w:rsidRDefault="004B250B" w:rsidP="003A16ED">
      <w:pPr>
        <w:pStyle w:val="Bodytext21"/>
        <w:shd w:val="clear" w:color="auto" w:fill="auto"/>
        <w:spacing w:line="276" w:lineRule="auto"/>
        <w:ind w:firstLine="0"/>
        <w:jc w:val="both"/>
        <w:rPr>
          <w:lang w:val="ro-RO"/>
        </w:rPr>
      </w:pPr>
      <w:hyperlink r:id="rId59" w:history="1">
        <w:r w:rsidR="006660B9" w:rsidRPr="00F5644D">
          <w:rPr>
            <w:lang w:val="ro-RO"/>
          </w:rPr>
          <w:t>‘</w:t>
        </w:r>
        <w:r w:rsidR="006660B9" w:rsidRPr="00F5644D">
          <w:rPr>
            <w:rStyle w:val="Bodytext20"/>
            <w:rFonts w:eastAsia="Arial Unicode MS"/>
            <w:lang w:val="ro-RO"/>
          </w:rPr>
          <w:t>Report on The professional secret, confidentiality and legal professional privilege in the nine member</w:t>
        </w:r>
      </w:hyperlink>
      <w:r w:rsidR="006660B9" w:rsidRPr="00F5644D">
        <w:rPr>
          <w:rStyle w:val="Bodytext20"/>
          <w:rFonts w:eastAsia="Arial Unicode MS"/>
          <w:lang w:val="ro-RO"/>
        </w:rPr>
        <w:t xml:space="preserve"> </w:t>
      </w:r>
      <w:hyperlink r:id="rId60" w:history="1">
        <w:r w:rsidR="006660B9" w:rsidRPr="00F5644D">
          <w:rPr>
            <w:rStyle w:val="Bodytext20"/>
            <w:rFonts w:eastAsia="Arial Unicode MS"/>
            <w:lang w:val="ro-RO"/>
          </w:rPr>
          <w:t>states of the European Community’</w:t>
        </w:r>
        <w:r w:rsidR="006660B9">
          <w:rPr>
            <w:rStyle w:val="Bodytext20"/>
            <w:rFonts w:eastAsia="Arial Unicode MS"/>
            <w:lang w:val="ro-RO"/>
          </w:rPr>
          <w:t xml:space="preserve"> (Raport privind secretul profesional, confidenţialitatea şi privilegiul profesiei juridice în cele nouă state membre ale Comunităţii Europene)</w:t>
        </w:r>
        <w:r w:rsidR="006660B9" w:rsidRPr="00F5644D">
          <w:rPr>
            <w:lang w:val="ro-RO"/>
          </w:rPr>
          <w:t>,</w:t>
        </w:r>
      </w:hyperlink>
      <w:r w:rsidR="006660B9" w:rsidRPr="00F5644D">
        <w:rPr>
          <w:lang w:val="ro-RO"/>
        </w:rPr>
        <w:t xml:space="preserve"> CCBE, D.A.O. Edward, Q.C., 1976.</w:t>
      </w:r>
    </w:p>
    <w:p w:rsidR="006660B9" w:rsidRPr="00F5644D" w:rsidRDefault="006660B9" w:rsidP="003A16ED">
      <w:pPr>
        <w:pStyle w:val="Bodytext61"/>
        <w:shd w:val="clear" w:color="auto" w:fill="auto"/>
        <w:spacing w:line="276" w:lineRule="auto"/>
        <w:rPr>
          <w:lang w:val="ro-RO"/>
        </w:rPr>
      </w:pPr>
      <w:r>
        <w:rPr>
          <w:lang w:val="ro-RO"/>
        </w:rPr>
        <w:t>Jurisprudenţă</w:t>
      </w:r>
    </w:p>
    <w:p w:rsidR="006660B9" w:rsidRPr="00F5644D" w:rsidRDefault="006660B9" w:rsidP="003A16ED">
      <w:pPr>
        <w:pStyle w:val="Bodytext31"/>
        <w:shd w:val="clear" w:color="auto" w:fill="auto"/>
        <w:spacing w:line="276" w:lineRule="auto"/>
        <w:ind w:firstLine="0"/>
        <w:rPr>
          <w:lang w:val="ro-RO"/>
        </w:rPr>
      </w:pPr>
      <w:r>
        <w:rPr>
          <w:lang w:val="ro-RO"/>
        </w:rPr>
        <w:t>Curtea Europeană a Drepturilor Omului</w:t>
      </w:r>
    </w:p>
    <w:p w:rsidR="006660B9" w:rsidRPr="00F5644D" w:rsidRDefault="006660B9" w:rsidP="003A16ED">
      <w:pPr>
        <w:pStyle w:val="Bodytext31"/>
        <w:shd w:val="clear" w:color="auto" w:fill="auto"/>
        <w:spacing w:line="276" w:lineRule="auto"/>
        <w:ind w:firstLine="0"/>
        <w:rPr>
          <w:lang w:val="ro-RO"/>
        </w:rPr>
      </w:pPr>
      <w:r>
        <w:rPr>
          <w:rStyle w:val="Bodytext3NotItalic"/>
          <w:rFonts w:eastAsia="Arial Unicode MS"/>
          <w:lang w:val="ro-RO"/>
        </w:rPr>
        <w:t>CEDO</w:t>
      </w:r>
      <w:r w:rsidRPr="00F5644D">
        <w:rPr>
          <w:rStyle w:val="Bodytext3NotItalic"/>
          <w:rFonts w:eastAsia="Arial Unicode MS"/>
          <w:lang w:val="ro-RO"/>
        </w:rPr>
        <w:t xml:space="preserve">, </w:t>
      </w:r>
      <w:r w:rsidRPr="00F5644D">
        <w:rPr>
          <w:rStyle w:val="Bodytext30"/>
          <w:rFonts w:eastAsia="Arial Unicode MS"/>
          <w:i/>
          <w:iCs/>
          <w:lang w:val="ro-RO"/>
        </w:rPr>
        <w:t xml:space="preserve">Szabo </w:t>
      </w:r>
      <w:r>
        <w:rPr>
          <w:rStyle w:val="Bodytext30"/>
          <w:rFonts w:eastAsia="Arial Unicode MS"/>
          <w:i/>
          <w:iCs/>
          <w:lang w:val="ro-RO"/>
        </w:rPr>
        <w:t>şi</w:t>
      </w:r>
      <w:r w:rsidRPr="00F5644D">
        <w:rPr>
          <w:rStyle w:val="Bodytext30"/>
          <w:rFonts w:eastAsia="Arial Unicode MS"/>
          <w:i/>
          <w:iCs/>
          <w:lang w:val="ro-RO"/>
        </w:rPr>
        <w:t xml:space="preserve"> Vissy </w:t>
      </w:r>
      <w:r>
        <w:rPr>
          <w:rStyle w:val="Bodytext30"/>
          <w:rFonts w:eastAsia="Arial Unicode MS"/>
          <w:i/>
          <w:iCs/>
          <w:lang w:val="ro-RO"/>
        </w:rPr>
        <w:t>împotriva Ungariei</w:t>
      </w:r>
      <w:r w:rsidRPr="00F5644D">
        <w:rPr>
          <w:rStyle w:val="Bodytext3NotItalic1"/>
          <w:rFonts w:eastAsia="Arial Unicode MS"/>
          <w:lang w:val="ro-RO"/>
        </w:rPr>
        <w:t xml:space="preserve"> </w:t>
      </w:r>
      <w:r w:rsidRPr="00F5644D">
        <w:rPr>
          <w:rStyle w:val="Bodytext3NotItalic"/>
          <w:rFonts w:eastAsia="Arial Unicode MS"/>
          <w:lang w:val="ro-RO"/>
        </w:rPr>
        <w:t>(37138/14), 2016.</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1" w:history="1">
        <w:r w:rsidRPr="00F5644D">
          <w:rPr>
            <w:lang w:val="ro-RO"/>
          </w:rPr>
          <w:t xml:space="preserve"> </w:t>
        </w:r>
        <w:r w:rsidRPr="00F5644D">
          <w:rPr>
            <w:rStyle w:val="Bodytext2Italic1"/>
            <w:rFonts w:eastAsia="Arial Unicode MS"/>
            <w:lang w:val="ro-RO"/>
          </w:rPr>
          <w:t xml:space="preserve">R.E. </w:t>
        </w:r>
        <w:r>
          <w:rPr>
            <w:rStyle w:val="Bodytext2Italic1"/>
            <w:rFonts w:eastAsia="Arial Unicode MS"/>
            <w:lang w:val="ro-RO"/>
          </w:rPr>
          <w:t>împotriva Regatului Unit</w:t>
        </w:r>
        <w:r w:rsidRPr="00F5644D">
          <w:rPr>
            <w:rStyle w:val="Bodytext22"/>
            <w:rFonts w:eastAsia="Arial Unicode MS"/>
            <w:lang w:val="ro-RO"/>
          </w:rPr>
          <w:t xml:space="preserve"> </w:t>
        </w:r>
      </w:hyperlink>
      <w:r w:rsidRPr="00F5644D">
        <w:rPr>
          <w:lang w:val="ro-RO"/>
        </w:rPr>
        <w:t>(62498/11), 2015.</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Pruteanu </w:t>
      </w:r>
      <w:r w:rsidRPr="00E5647A">
        <w:rPr>
          <w:rStyle w:val="Bodytext2Italic1"/>
          <w:rFonts w:eastAsia="Arial Unicode MS"/>
          <w:lang w:val="ro-RO"/>
        </w:rPr>
        <w:t xml:space="preserve">împotriva </w:t>
      </w:r>
      <w:r w:rsidRPr="00F5644D">
        <w:rPr>
          <w:rStyle w:val="Bodytext2Italic1"/>
          <w:rFonts w:eastAsia="Arial Unicode MS"/>
          <w:lang w:val="ro-RO"/>
        </w:rPr>
        <w:t>Rom</w:t>
      </w:r>
      <w:r>
        <w:rPr>
          <w:rStyle w:val="Bodytext2Italic1"/>
          <w:rFonts w:eastAsia="Arial Unicode MS"/>
          <w:lang w:val="ro-RO"/>
        </w:rPr>
        <w:t>âniei</w:t>
      </w:r>
      <w:r w:rsidRPr="00F5644D">
        <w:rPr>
          <w:rStyle w:val="Bodytext22"/>
          <w:rFonts w:eastAsia="Arial Unicode MS"/>
          <w:lang w:val="ro-RO"/>
        </w:rPr>
        <w:t xml:space="preserve"> </w:t>
      </w:r>
      <w:r w:rsidRPr="00F5644D">
        <w:rPr>
          <w:lang w:val="ro-RO"/>
        </w:rPr>
        <w:t>(30181/05), 2015.</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Zakharov </w:t>
      </w:r>
      <w:r w:rsidRPr="00E5647A">
        <w:rPr>
          <w:rStyle w:val="Bodytext2Italic1"/>
          <w:rFonts w:eastAsia="Arial Unicode MS"/>
          <w:lang w:val="ro-RO"/>
        </w:rPr>
        <w:t xml:space="preserve">împotriva </w:t>
      </w:r>
      <w:r w:rsidRPr="00F5644D">
        <w:rPr>
          <w:rStyle w:val="Bodytext2Italic1"/>
          <w:rFonts w:eastAsia="Arial Unicode MS"/>
          <w:lang w:val="ro-RO"/>
        </w:rPr>
        <w:t>Rusi</w:t>
      </w:r>
      <w:r>
        <w:rPr>
          <w:rStyle w:val="Bodytext2Italic1"/>
          <w:rFonts w:eastAsia="Arial Unicode MS"/>
          <w:lang w:val="ro-RO"/>
        </w:rPr>
        <w:t>ei</w:t>
      </w:r>
      <w:r w:rsidRPr="00F5644D">
        <w:rPr>
          <w:rStyle w:val="Bodytext22"/>
          <w:rFonts w:eastAsia="Arial Unicode MS"/>
          <w:lang w:val="ro-RO"/>
        </w:rPr>
        <w:t xml:space="preserve"> </w:t>
      </w:r>
      <w:r w:rsidRPr="00F5644D">
        <w:rPr>
          <w:lang w:val="ro-RO"/>
        </w:rPr>
        <w:t>(47143/06), 2015.</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Michaud </w:t>
      </w:r>
      <w:r w:rsidRPr="00E5647A">
        <w:rPr>
          <w:rStyle w:val="Bodytext2Italic1"/>
          <w:rFonts w:eastAsia="Arial Unicode MS"/>
          <w:lang w:val="ro-RO"/>
        </w:rPr>
        <w:t xml:space="preserve">împotriva </w:t>
      </w:r>
      <w:r w:rsidRPr="00F5644D">
        <w:rPr>
          <w:rStyle w:val="Bodytext2Italic1"/>
          <w:rFonts w:eastAsia="Arial Unicode MS"/>
          <w:lang w:val="ro-RO"/>
        </w:rPr>
        <w:t>Fran</w:t>
      </w:r>
      <w:r>
        <w:rPr>
          <w:rStyle w:val="Bodytext2Italic1"/>
          <w:rFonts w:eastAsia="Arial Unicode MS"/>
          <w:lang w:val="ro-RO"/>
        </w:rPr>
        <w:t>ţei</w:t>
      </w:r>
      <w:r w:rsidRPr="00F5644D">
        <w:rPr>
          <w:rStyle w:val="Bodytext22"/>
          <w:rFonts w:eastAsia="Arial Unicode MS"/>
          <w:lang w:val="ro-RO"/>
        </w:rPr>
        <w:t xml:space="preserve"> </w:t>
      </w:r>
      <w:r w:rsidRPr="00F5644D">
        <w:rPr>
          <w:lang w:val="ro-RO"/>
        </w:rPr>
        <w:t>(12323/11), 2012.</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Telegraaf </w:t>
      </w:r>
      <w:r w:rsidRPr="00E5647A">
        <w:rPr>
          <w:rStyle w:val="Bodytext2Italic1"/>
          <w:rFonts w:eastAsia="Arial Unicode MS"/>
          <w:lang w:val="ro-RO"/>
        </w:rPr>
        <w:t xml:space="preserve">împotriva </w:t>
      </w:r>
      <w:r>
        <w:rPr>
          <w:rStyle w:val="Bodytext2Italic1"/>
          <w:rFonts w:eastAsia="Arial Unicode MS"/>
          <w:lang w:val="ro-RO"/>
        </w:rPr>
        <w:t xml:space="preserve">Olandei </w:t>
      </w:r>
      <w:r w:rsidRPr="00F5644D">
        <w:rPr>
          <w:lang w:val="ro-RO"/>
        </w:rPr>
        <w:t>(39315/06), 2012.</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Kennedy </w:t>
      </w:r>
      <w:r w:rsidRPr="00E5647A">
        <w:rPr>
          <w:rStyle w:val="Bodytext2Italic1"/>
          <w:rFonts w:eastAsia="Arial Unicode MS"/>
          <w:lang w:val="ro-RO"/>
        </w:rPr>
        <w:t xml:space="preserve">împotriva </w:t>
      </w:r>
      <w:r>
        <w:rPr>
          <w:rStyle w:val="Bodytext2Italic1"/>
          <w:rFonts w:eastAsia="Arial Unicode MS"/>
          <w:lang w:val="ro-RO"/>
        </w:rPr>
        <w:t xml:space="preserve">Regatului Unit </w:t>
      </w:r>
      <w:r w:rsidRPr="00F5644D">
        <w:rPr>
          <w:lang w:val="ro-RO"/>
        </w:rPr>
        <w:t>(26839/05), 2010.</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lastRenderedPageBreak/>
        <w:t>CEDO</w:t>
      </w:r>
      <w:r w:rsidRPr="00F5644D">
        <w:rPr>
          <w:lang w:val="ro-RO"/>
        </w:rPr>
        <w:t>,</w:t>
      </w:r>
      <w:hyperlink r:id="rId62" w:history="1">
        <w:r w:rsidRPr="00F5644D">
          <w:rPr>
            <w:lang w:val="ro-RO"/>
          </w:rPr>
          <w:t xml:space="preserve"> </w:t>
        </w:r>
        <w:r w:rsidRPr="00F5644D">
          <w:rPr>
            <w:rStyle w:val="Bodytext2Italic1"/>
            <w:rFonts w:eastAsia="Arial Unicode MS"/>
            <w:lang w:val="ro-RO"/>
          </w:rPr>
          <w:t xml:space="preserve">Sakhnovskiy </w:t>
        </w:r>
        <w:r w:rsidRPr="00E5647A">
          <w:rPr>
            <w:rStyle w:val="Bodytext2Italic1"/>
            <w:rFonts w:eastAsia="Arial Unicode MS"/>
            <w:lang w:val="ro-RO"/>
          </w:rPr>
          <w:t xml:space="preserve">împotriva </w:t>
        </w:r>
        <w:r w:rsidRPr="00F5644D">
          <w:rPr>
            <w:rStyle w:val="Bodytext2Italic1"/>
            <w:rFonts w:eastAsia="Arial Unicode MS"/>
            <w:lang w:val="ro-RO"/>
          </w:rPr>
          <w:t>Rusi</w:t>
        </w:r>
        <w:r>
          <w:rPr>
            <w:rStyle w:val="Bodytext2Italic1"/>
            <w:rFonts w:eastAsia="Arial Unicode MS"/>
            <w:lang w:val="ro-RO"/>
          </w:rPr>
          <w:t>ei</w:t>
        </w:r>
        <w:r w:rsidRPr="00F5644D">
          <w:rPr>
            <w:rStyle w:val="Bodytext22"/>
            <w:rFonts w:eastAsia="Arial Unicode MS"/>
            <w:lang w:val="ro-RO"/>
          </w:rPr>
          <w:t xml:space="preserve"> </w:t>
        </w:r>
      </w:hyperlink>
      <w:r w:rsidRPr="00F5644D">
        <w:rPr>
          <w:lang w:val="ro-RO"/>
        </w:rPr>
        <w:t>(21272/03), 2010.</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3" w:history="1">
        <w:r w:rsidRPr="00F5644D">
          <w:rPr>
            <w:lang w:val="ro-RO"/>
          </w:rPr>
          <w:t xml:space="preserve"> </w:t>
        </w:r>
        <w:r w:rsidRPr="00F5644D">
          <w:rPr>
            <w:rStyle w:val="Bodytext2Italic1"/>
            <w:rFonts w:eastAsia="Arial Unicode MS"/>
            <w:lang w:val="ro-RO"/>
          </w:rPr>
          <w:t xml:space="preserve">Uzun </w:t>
        </w:r>
        <w:r w:rsidRPr="00E5647A">
          <w:rPr>
            <w:rStyle w:val="Bodytext2Italic1"/>
            <w:rFonts w:eastAsia="Arial Unicode MS"/>
            <w:lang w:val="ro-RO"/>
          </w:rPr>
          <w:t>împotriva</w:t>
        </w:r>
        <w:r w:rsidRPr="00F5644D">
          <w:rPr>
            <w:rStyle w:val="Bodytext2Italic1"/>
            <w:rFonts w:eastAsia="Arial Unicode MS"/>
            <w:lang w:val="ro-RO"/>
          </w:rPr>
          <w:t xml:space="preserve"> German</w:t>
        </w:r>
        <w:r>
          <w:rPr>
            <w:rStyle w:val="Bodytext2Italic1"/>
            <w:rFonts w:eastAsia="Arial Unicode MS"/>
            <w:lang w:val="ro-RO"/>
          </w:rPr>
          <w:t>iei</w:t>
        </w:r>
        <w:r w:rsidRPr="00F5644D">
          <w:rPr>
            <w:rStyle w:val="Bodytext22"/>
            <w:rFonts w:eastAsia="Arial Unicode MS"/>
            <w:lang w:val="ro-RO"/>
          </w:rPr>
          <w:t xml:space="preserve"> </w:t>
        </w:r>
      </w:hyperlink>
      <w:r w:rsidRPr="00F5644D">
        <w:rPr>
          <w:lang w:val="ro-RO"/>
        </w:rPr>
        <w:t>(35623/05), 2010.</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4" w:history="1">
        <w:r w:rsidRPr="00F5644D">
          <w:rPr>
            <w:lang w:val="ro-RO"/>
          </w:rPr>
          <w:t xml:space="preserve"> </w:t>
        </w:r>
        <w:r w:rsidRPr="00F5644D">
          <w:rPr>
            <w:rStyle w:val="Bodytext2Italic1"/>
            <w:rFonts w:eastAsia="Arial Unicode MS"/>
            <w:lang w:val="ro-RO"/>
          </w:rPr>
          <w:t xml:space="preserve">Bykov </w:t>
        </w:r>
        <w:r w:rsidRPr="00E5647A">
          <w:rPr>
            <w:rStyle w:val="Bodytext2Italic1"/>
            <w:rFonts w:eastAsia="Arial Unicode MS"/>
            <w:lang w:val="ro-RO"/>
          </w:rPr>
          <w:t xml:space="preserve">împotriva </w:t>
        </w:r>
        <w:r w:rsidRPr="00F5644D">
          <w:rPr>
            <w:rStyle w:val="Bodytext2Italic1"/>
            <w:rFonts w:eastAsia="Arial Unicode MS"/>
            <w:lang w:val="ro-RO"/>
          </w:rPr>
          <w:t>Ru</w:t>
        </w:r>
        <w:r>
          <w:rPr>
            <w:rStyle w:val="Bodytext2Italic1"/>
            <w:rFonts w:eastAsia="Arial Unicode MS"/>
            <w:lang w:val="ro-RO"/>
          </w:rPr>
          <w:t>siei</w:t>
        </w:r>
        <w:r w:rsidRPr="00F5644D">
          <w:rPr>
            <w:rStyle w:val="Bodytext22"/>
            <w:rFonts w:eastAsia="Arial Unicode MS"/>
            <w:lang w:val="ro-RO"/>
          </w:rPr>
          <w:t xml:space="preserve"> </w:t>
        </w:r>
      </w:hyperlink>
      <w:r w:rsidRPr="00F5644D">
        <w:rPr>
          <w:lang w:val="ro-RO"/>
        </w:rPr>
        <w:t>(4378/02), 2009.</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Andre </w:t>
      </w:r>
      <w:r w:rsidRPr="00E5647A">
        <w:rPr>
          <w:rStyle w:val="Bodytext2Italic1"/>
          <w:rFonts w:eastAsia="Arial Unicode MS"/>
          <w:lang w:val="ro-RO"/>
        </w:rPr>
        <w:t>împotriva</w:t>
      </w:r>
      <w:r w:rsidRPr="00F5644D">
        <w:rPr>
          <w:rStyle w:val="Bodytext2Italic1"/>
          <w:rFonts w:eastAsia="Arial Unicode MS"/>
          <w:lang w:val="ro-RO"/>
        </w:rPr>
        <w:t xml:space="preserve"> Fran</w:t>
      </w:r>
      <w:r>
        <w:rPr>
          <w:rStyle w:val="Bodytext2Italic1"/>
          <w:rFonts w:eastAsia="Arial Unicode MS"/>
          <w:lang w:val="ro-RO"/>
        </w:rPr>
        <w:t>ţei</w:t>
      </w:r>
      <w:r w:rsidRPr="00F5644D">
        <w:rPr>
          <w:rStyle w:val="Bodytext22"/>
          <w:rFonts w:eastAsia="Arial Unicode MS"/>
          <w:lang w:val="ro-RO"/>
        </w:rPr>
        <w:t xml:space="preserve"> </w:t>
      </w:r>
      <w:r w:rsidRPr="00F5644D">
        <w:rPr>
          <w:lang w:val="ro-RO"/>
        </w:rPr>
        <w:t>(18603/03), 2008.</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Moiseyev </w:t>
      </w:r>
      <w:r w:rsidRPr="00E5647A">
        <w:rPr>
          <w:rStyle w:val="Bodytext2Italic1"/>
          <w:rFonts w:eastAsia="Arial Unicode MS"/>
          <w:lang w:val="ro-RO"/>
        </w:rPr>
        <w:t>împotriva</w:t>
      </w:r>
      <w:r w:rsidRPr="00F5644D">
        <w:rPr>
          <w:rStyle w:val="Bodytext2Italic1"/>
          <w:rFonts w:eastAsia="Arial Unicode MS"/>
          <w:lang w:val="ro-RO"/>
        </w:rPr>
        <w:t xml:space="preserve"> Rusi</w:t>
      </w:r>
      <w:r>
        <w:rPr>
          <w:rStyle w:val="Bodytext2Italic1"/>
          <w:rFonts w:eastAsia="Arial Unicode MS"/>
          <w:lang w:val="ro-RO"/>
        </w:rPr>
        <w:t>ei</w:t>
      </w:r>
      <w:r w:rsidRPr="00F5644D">
        <w:rPr>
          <w:rStyle w:val="Bodytext22"/>
          <w:rFonts w:eastAsia="Arial Unicode MS"/>
          <w:lang w:val="ro-RO"/>
        </w:rPr>
        <w:t xml:space="preserve"> </w:t>
      </w:r>
      <w:r w:rsidRPr="00F5644D">
        <w:rPr>
          <w:lang w:val="ro-RO"/>
        </w:rPr>
        <w:t>(62936/00), 2008.</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5" w:history="1">
        <w:r w:rsidRPr="00F5644D">
          <w:rPr>
            <w:lang w:val="ro-RO"/>
          </w:rPr>
          <w:t xml:space="preserve"> </w:t>
        </w:r>
        <w:r w:rsidRPr="00F5644D">
          <w:rPr>
            <w:rStyle w:val="Bodytext2Italic1"/>
            <w:rFonts w:eastAsia="Arial Unicode MS"/>
            <w:lang w:val="ro-RO"/>
          </w:rPr>
          <w:t xml:space="preserve">Zaaaria </w:t>
        </w:r>
        <w:r w:rsidRPr="00E5647A">
          <w:rPr>
            <w:rStyle w:val="Bodytext2Italic1"/>
            <w:rFonts w:eastAsia="Arial Unicode MS"/>
            <w:lang w:val="ro-RO"/>
          </w:rPr>
          <w:t xml:space="preserve">împotriva </w:t>
        </w:r>
        <w:r w:rsidRPr="00F5644D">
          <w:rPr>
            <w:rStyle w:val="Bodytext2Italic1"/>
            <w:rFonts w:eastAsia="Arial Unicode MS"/>
            <w:lang w:val="ro-RO"/>
          </w:rPr>
          <w:t>Ital</w:t>
        </w:r>
        <w:r>
          <w:rPr>
            <w:rStyle w:val="Bodytext2Italic1"/>
            <w:rFonts w:eastAsia="Arial Unicode MS"/>
            <w:lang w:val="ro-RO"/>
          </w:rPr>
          <w:t>iei</w:t>
        </w:r>
        <w:r w:rsidRPr="00F5644D">
          <w:rPr>
            <w:rStyle w:val="Bodytext22"/>
            <w:rFonts w:eastAsia="Arial Unicode MS"/>
            <w:lang w:val="ro-RO"/>
          </w:rPr>
          <w:t xml:space="preserve"> </w:t>
        </w:r>
      </w:hyperlink>
      <w:r w:rsidRPr="00F5644D">
        <w:rPr>
          <w:lang w:val="ro-RO"/>
        </w:rPr>
        <w:t>(58295/00), 2007.</w:t>
      </w:r>
    </w:p>
    <w:p w:rsidR="006660B9" w:rsidRPr="00F5644D" w:rsidRDefault="006660B9" w:rsidP="003A16ED">
      <w:pPr>
        <w:pStyle w:val="Bodytext31"/>
        <w:shd w:val="clear" w:color="auto" w:fill="auto"/>
        <w:spacing w:line="276" w:lineRule="auto"/>
        <w:ind w:firstLine="0"/>
        <w:rPr>
          <w:lang w:val="ro-RO"/>
        </w:rPr>
      </w:pPr>
      <w:r>
        <w:rPr>
          <w:rStyle w:val="Bodytext3NotItalic"/>
          <w:rFonts w:eastAsia="Arial Unicode MS"/>
          <w:lang w:val="ro-RO"/>
        </w:rPr>
        <w:t>CEDO</w:t>
      </w:r>
      <w:r w:rsidRPr="00F5644D">
        <w:rPr>
          <w:rStyle w:val="Bodytext3NotItalic"/>
          <w:rFonts w:eastAsia="Arial Unicode MS"/>
          <w:lang w:val="ro-RO"/>
        </w:rPr>
        <w:t xml:space="preserve">, </w:t>
      </w:r>
      <w:r w:rsidRPr="00F5644D">
        <w:rPr>
          <w:rStyle w:val="Bodytext30"/>
          <w:rFonts w:eastAsia="Arial Unicode MS"/>
          <w:i/>
          <w:iCs/>
          <w:lang w:val="ro-RO"/>
        </w:rPr>
        <w:t xml:space="preserve">Segerstedt-Wiberg </w:t>
      </w:r>
      <w:r>
        <w:rPr>
          <w:rStyle w:val="Bodytext30"/>
          <w:rFonts w:eastAsia="Arial Unicode MS"/>
          <w:i/>
          <w:iCs/>
          <w:lang w:val="ro-RO"/>
        </w:rPr>
        <w:t xml:space="preserve">şi alţii </w:t>
      </w:r>
      <w:r w:rsidRPr="00E5647A">
        <w:rPr>
          <w:rStyle w:val="Bodytext30"/>
          <w:rFonts w:eastAsia="Arial Unicode MS"/>
          <w:i/>
          <w:iCs/>
          <w:lang w:val="ro-RO"/>
        </w:rPr>
        <w:t>împotriva</w:t>
      </w:r>
      <w:r w:rsidRPr="00F5644D">
        <w:rPr>
          <w:rStyle w:val="Bodytext30"/>
          <w:rFonts w:eastAsia="Arial Unicode MS"/>
          <w:i/>
          <w:iCs/>
          <w:lang w:val="ro-RO"/>
        </w:rPr>
        <w:t xml:space="preserve"> </w:t>
      </w:r>
      <w:r>
        <w:rPr>
          <w:rStyle w:val="Bodytext30"/>
          <w:rFonts w:eastAsia="Arial Unicode MS"/>
          <w:i/>
          <w:iCs/>
          <w:lang w:val="ro-RO"/>
        </w:rPr>
        <w:t>Suediei</w:t>
      </w:r>
      <w:r w:rsidRPr="00F5644D">
        <w:rPr>
          <w:rStyle w:val="Bodytext3NotItalic1"/>
          <w:rFonts w:eastAsia="Arial Unicode MS"/>
          <w:lang w:val="ro-RO"/>
        </w:rPr>
        <w:t xml:space="preserve"> </w:t>
      </w:r>
      <w:r w:rsidRPr="00F5644D">
        <w:rPr>
          <w:rStyle w:val="Bodytext3NotItalic"/>
          <w:rFonts w:eastAsia="Arial Unicode MS"/>
          <w:lang w:val="ro-RO"/>
        </w:rPr>
        <w:t>(62332/00), 2006.</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Ocalan </w:t>
      </w:r>
      <w:r w:rsidRPr="00E5647A">
        <w:rPr>
          <w:rStyle w:val="Bodytext2Italic1"/>
          <w:rFonts w:eastAsia="Arial Unicode MS"/>
          <w:lang w:val="ro-RO"/>
        </w:rPr>
        <w:t>împotriva</w:t>
      </w:r>
      <w:r w:rsidRPr="00F5644D">
        <w:rPr>
          <w:rStyle w:val="Bodytext2Italic1"/>
          <w:rFonts w:eastAsia="Arial Unicode MS"/>
          <w:lang w:val="ro-RO"/>
        </w:rPr>
        <w:t xml:space="preserve"> </w:t>
      </w:r>
      <w:r>
        <w:rPr>
          <w:rStyle w:val="Bodytext2Italic1"/>
          <w:rFonts w:eastAsia="Arial Unicode MS"/>
          <w:lang w:val="ro-RO"/>
        </w:rPr>
        <w:t>Turciei</w:t>
      </w:r>
      <w:r w:rsidRPr="00F5644D">
        <w:rPr>
          <w:rStyle w:val="Bodytext22"/>
          <w:rFonts w:eastAsia="Arial Unicode MS"/>
          <w:lang w:val="ro-RO"/>
        </w:rPr>
        <w:t xml:space="preserve"> </w:t>
      </w:r>
      <w:r w:rsidRPr="00F5644D">
        <w:rPr>
          <w:lang w:val="ro-RO"/>
        </w:rPr>
        <w:t>(46221/99), 2005.</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6" w:history="1">
        <w:r w:rsidRPr="00F5644D">
          <w:rPr>
            <w:lang w:val="ro-RO"/>
          </w:rPr>
          <w:t xml:space="preserve"> </w:t>
        </w:r>
        <w:r w:rsidRPr="00F5644D">
          <w:rPr>
            <w:rStyle w:val="Bodytext2Italic1"/>
            <w:rFonts w:eastAsia="Arial Unicode MS"/>
            <w:lang w:val="ro-RO"/>
          </w:rPr>
          <w:t xml:space="preserve">Matheron </w:t>
        </w:r>
        <w:r w:rsidRPr="00E5647A">
          <w:rPr>
            <w:rStyle w:val="Bodytext2Italic1"/>
            <w:rFonts w:eastAsia="Arial Unicode MS"/>
            <w:lang w:val="ro-RO"/>
          </w:rPr>
          <w:t xml:space="preserve">împotriva </w:t>
        </w:r>
        <w:r>
          <w:rPr>
            <w:rStyle w:val="Bodytext2Italic1"/>
            <w:rFonts w:eastAsia="Arial Unicode MS"/>
            <w:lang w:val="ro-RO"/>
          </w:rPr>
          <w:t>Franţei</w:t>
        </w:r>
        <w:r w:rsidRPr="00F5644D">
          <w:rPr>
            <w:rStyle w:val="Bodytext22"/>
            <w:rFonts w:eastAsia="Arial Unicode MS"/>
            <w:lang w:val="ro-RO"/>
          </w:rPr>
          <w:t xml:space="preserve"> </w:t>
        </w:r>
      </w:hyperlink>
      <w:r w:rsidRPr="00F5644D">
        <w:rPr>
          <w:lang w:val="ro-RO"/>
        </w:rPr>
        <w:t>(57752/00), 2005.</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7" w:history="1">
        <w:r w:rsidRPr="00F5644D">
          <w:rPr>
            <w:lang w:val="ro-RO"/>
          </w:rPr>
          <w:t xml:space="preserve"> </w:t>
        </w:r>
        <w:r w:rsidRPr="00F5644D">
          <w:rPr>
            <w:rStyle w:val="Bodytext2Italic1"/>
            <w:rFonts w:eastAsia="Arial Unicode MS"/>
            <w:lang w:val="ro-RO"/>
          </w:rPr>
          <w:t xml:space="preserve">Lanz </w:t>
        </w:r>
        <w:r w:rsidRPr="00A83394">
          <w:rPr>
            <w:rStyle w:val="Bodytext2Italic1"/>
            <w:rFonts w:eastAsia="Arial Unicode MS"/>
            <w:lang w:val="ro-RO"/>
          </w:rPr>
          <w:t>împotriva</w:t>
        </w:r>
        <w:r w:rsidRPr="00F5644D">
          <w:rPr>
            <w:rStyle w:val="Bodytext2Italic1"/>
            <w:rFonts w:eastAsia="Arial Unicode MS"/>
            <w:lang w:val="ro-RO"/>
          </w:rPr>
          <w:t xml:space="preserve"> Austri</w:t>
        </w:r>
        <w:r>
          <w:rPr>
            <w:rStyle w:val="Bodytext2Italic1"/>
            <w:rFonts w:eastAsia="Arial Unicode MS"/>
            <w:lang w:val="ro-RO"/>
          </w:rPr>
          <w:t>ei</w:t>
        </w:r>
        <w:r w:rsidRPr="00F5644D">
          <w:rPr>
            <w:rStyle w:val="Bodytext22"/>
            <w:rFonts w:eastAsia="Arial Unicode MS"/>
            <w:lang w:val="ro-RO"/>
          </w:rPr>
          <w:t xml:space="preserve"> </w:t>
        </w:r>
      </w:hyperlink>
      <w:r w:rsidRPr="00F5644D">
        <w:rPr>
          <w:lang w:val="ro-RO"/>
        </w:rPr>
        <w:t>(24430/94), 2002.</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8" w:history="1">
        <w:r w:rsidRPr="00F5644D">
          <w:rPr>
            <w:lang w:val="ro-RO"/>
          </w:rPr>
          <w:t xml:space="preserve"> </w:t>
        </w:r>
        <w:r w:rsidRPr="00F5644D">
          <w:rPr>
            <w:rStyle w:val="Bodytext2Italic1"/>
            <w:rFonts w:eastAsia="Arial Unicode MS"/>
            <w:lang w:val="ro-RO"/>
          </w:rPr>
          <w:t xml:space="preserve">Brennan </w:t>
        </w:r>
        <w:r w:rsidRPr="00A83394">
          <w:rPr>
            <w:rStyle w:val="Bodytext2Italic1"/>
            <w:rFonts w:eastAsia="Arial Unicode MS"/>
            <w:lang w:val="ro-RO"/>
          </w:rPr>
          <w:t>împotriva</w:t>
        </w:r>
        <w:r>
          <w:rPr>
            <w:rStyle w:val="Bodytext2Italic1"/>
            <w:rFonts w:eastAsia="Arial Unicode MS"/>
            <w:lang w:val="ro-RO"/>
          </w:rPr>
          <w:t xml:space="preserve"> Regatului Unit</w:t>
        </w:r>
        <w:r w:rsidRPr="00F5644D">
          <w:rPr>
            <w:rStyle w:val="Bodytext22"/>
            <w:rFonts w:eastAsia="Arial Unicode MS"/>
            <w:lang w:val="ro-RO"/>
          </w:rPr>
          <w:t xml:space="preserve"> </w:t>
        </w:r>
      </w:hyperlink>
      <w:r w:rsidRPr="00F5644D">
        <w:rPr>
          <w:lang w:val="ro-RO"/>
        </w:rPr>
        <w:t>(39846/98), 2001.</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69" w:history="1">
        <w:r w:rsidRPr="00F5644D">
          <w:rPr>
            <w:lang w:val="ro-RO"/>
          </w:rPr>
          <w:t xml:space="preserve"> </w:t>
        </w:r>
        <w:r w:rsidRPr="00F5644D">
          <w:rPr>
            <w:rStyle w:val="Bodytext2Italic1"/>
            <w:rFonts w:eastAsia="Arial Unicode MS"/>
            <w:lang w:val="ro-RO"/>
          </w:rPr>
          <w:t xml:space="preserve">Foxley </w:t>
        </w:r>
        <w:r w:rsidRPr="00A83394">
          <w:rPr>
            <w:rStyle w:val="Bodytext2Italic1"/>
            <w:rFonts w:eastAsia="Arial Unicode MS"/>
            <w:lang w:val="ro-RO"/>
          </w:rPr>
          <w:t>împotriva</w:t>
        </w:r>
        <w:r w:rsidRPr="00F5644D">
          <w:rPr>
            <w:rStyle w:val="Bodytext2Italic1"/>
            <w:rFonts w:eastAsia="Arial Unicode MS"/>
            <w:lang w:val="ro-RO"/>
          </w:rPr>
          <w:t xml:space="preserve"> UK</w:t>
        </w:r>
        <w:r w:rsidRPr="00F5644D">
          <w:rPr>
            <w:rStyle w:val="Bodytext22"/>
            <w:rFonts w:eastAsia="Arial Unicode MS"/>
            <w:lang w:val="ro-RO"/>
          </w:rPr>
          <w:t xml:space="preserve"> </w:t>
        </w:r>
      </w:hyperlink>
      <w:r w:rsidRPr="00F5644D">
        <w:rPr>
          <w:lang w:val="ro-RO"/>
        </w:rPr>
        <w:t>(33274/96), 2000.</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 xml:space="preserve">, </w:t>
      </w:r>
      <w:r w:rsidRPr="00F5644D">
        <w:rPr>
          <w:rStyle w:val="Bodytext2Italic1"/>
          <w:rFonts w:eastAsia="Arial Unicode MS"/>
          <w:lang w:val="ro-RO"/>
        </w:rPr>
        <w:t xml:space="preserve">Domenichini </w:t>
      </w:r>
      <w:r w:rsidRPr="00A83394">
        <w:rPr>
          <w:rStyle w:val="Bodytext2Italic1"/>
          <w:rFonts w:eastAsia="Arial Unicode MS"/>
          <w:lang w:val="ro-RO"/>
        </w:rPr>
        <w:t xml:space="preserve">împotriva </w:t>
      </w:r>
      <w:r w:rsidRPr="00F5644D">
        <w:rPr>
          <w:rStyle w:val="Bodytext2Italic1"/>
          <w:rFonts w:eastAsia="Arial Unicode MS"/>
          <w:lang w:val="ro-RO"/>
        </w:rPr>
        <w:t>Ital</w:t>
      </w:r>
      <w:r>
        <w:rPr>
          <w:rStyle w:val="Bodytext2Italic1"/>
          <w:rFonts w:eastAsia="Arial Unicode MS"/>
          <w:lang w:val="ro-RO"/>
        </w:rPr>
        <w:t>iei</w:t>
      </w:r>
      <w:r w:rsidRPr="00F5644D">
        <w:rPr>
          <w:rStyle w:val="Bodytext22"/>
          <w:rFonts w:eastAsia="Arial Unicode MS"/>
          <w:lang w:val="ro-RO"/>
        </w:rPr>
        <w:t xml:space="preserve"> </w:t>
      </w:r>
      <w:r w:rsidRPr="00F5644D">
        <w:rPr>
          <w:lang w:val="ro-RO"/>
        </w:rPr>
        <w:t>(15943/90), 1996.</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70" w:history="1">
        <w:r w:rsidRPr="00F5644D">
          <w:rPr>
            <w:lang w:val="ro-RO"/>
          </w:rPr>
          <w:t xml:space="preserve"> </w:t>
        </w:r>
        <w:r w:rsidRPr="00F5644D">
          <w:rPr>
            <w:rStyle w:val="Bodytext2Italic1"/>
            <w:rFonts w:eastAsia="Arial Unicode MS"/>
            <w:lang w:val="ro-RO"/>
          </w:rPr>
          <w:t xml:space="preserve">Kopp </w:t>
        </w:r>
        <w:r w:rsidRPr="00A83394">
          <w:rPr>
            <w:rStyle w:val="Bodytext2Italic1"/>
            <w:rFonts w:eastAsia="Arial Unicode MS"/>
            <w:lang w:val="ro-RO"/>
          </w:rPr>
          <w:t xml:space="preserve">împotriva </w:t>
        </w:r>
        <w:r>
          <w:rPr>
            <w:rStyle w:val="Bodytext2Italic1"/>
            <w:rFonts w:eastAsia="Arial Unicode MS"/>
            <w:lang w:val="ro-RO"/>
          </w:rPr>
          <w:t>Elveţiei</w:t>
        </w:r>
        <w:r w:rsidRPr="00F5644D">
          <w:rPr>
            <w:rStyle w:val="Bodytext22"/>
            <w:rFonts w:eastAsia="Arial Unicode MS"/>
            <w:lang w:val="ro-RO"/>
          </w:rPr>
          <w:t xml:space="preserve"> </w:t>
        </w:r>
      </w:hyperlink>
      <w:r w:rsidRPr="00F5644D">
        <w:rPr>
          <w:lang w:val="ro-RO"/>
        </w:rPr>
        <w:t>(23224/94), 1998.</w:t>
      </w:r>
    </w:p>
    <w:p w:rsidR="006660B9" w:rsidRPr="00F5644D" w:rsidRDefault="006660B9" w:rsidP="003A16ED">
      <w:pPr>
        <w:pStyle w:val="Bodytext31"/>
        <w:shd w:val="clear" w:color="auto" w:fill="auto"/>
        <w:spacing w:line="276" w:lineRule="auto"/>
        <w:ind w:firstLine="0"/>
        <w:rPr>
          <w:lang w:val="ro-RO"/>
        </w:rPr>
      </w:pPr>
      <w:r>
        <w:rPr>
          <w:rStyle w:val="Bodytext3NotItalic"/>
          <w:rFonts w:eastAsia="Arial Unicode MS"/>
          <w:lang w:val="ro-RO"/>
        </w:rPr>
        <w:t>CEDO</w:t>
      </w:r>
      <w:r w:rsidRPr="00F5644D">
        <w:rPr>
          <w:rStyle w:val="Bodytext3NotItalic"/>
          <w:rFonts w:eastAsia="Arial Unicode MS"/>
          <w:lang w:val="ro-RO"/>
        </w:rPr>
        <w:t xml:space="preserve">, </w:t>
      </w:r>
      <w:r w:rsidRPr="00F5644D">
        <w:rPr>
          <w:rStyle w:val="Bodytext30"/>
          <w:rFonts w:eastAsia="Arial Unicode MS"/>
          <w:i/>
          <w:iCs/>
          <w:lang w:val="ro-RO"/>
        </w:rPr>
        <w:t xml:space="preserve">Campbell </w:t>
      </w:r>
      <w:r w:rsidRPr="00A83394">
        <w:rPr>
          <w:rStyle w:val="Bodytext30"/>
          <w:rFonts w:eastAsia="Arial Unicode MS"/>
          <w:i/>
          <w:iCs/>
          <w:lang w:val="ro-RO"/>
        </w:rPr>
        <w:t xml:space="preserve">împotriva </w:t>
      </w:r>
      <w:r>
        <w:rPr>
          <w:rStyle w:val="Bodytext30"/>
          <w:rFonts w:eastAsia="Arial Unicode MS"/>
          <w:i/>
          <w:iCs/>
          <w:lang w:val="ro-RO"/>
        </w:rPr>
        <w:t xml:space="preserve">Regatului Unit </w:t>
      </w:r>
      <w:r w:rsidRPr="00F5644D">
        <w:rPr>
          <w:rStyle w:val="Bodytext3NotItalic"/>
          <w:rFonts w:eastAsia="Arial Unicode MS"/>
          <w:lang w:val="ro-RO"/>
        </w:rPr>
        <w:t>(13590/88), 1992.</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71" w:history="1">
        <w:r w:rsidRPr="00F5644D">
          <w:rPr>
            <w:lang w:val="ro-RO"/>
          </w:rPr>
          <w:t xml:space="preserve"> </w:t>
        </w:r>
        <w:r w:rsidRPr="00F5644D">
          <w:rPr>
            <w:rStyle w:val="Bodytext2Italic1"/>
            <w:rFonts w:eastAsia="Arial Unicode MS"/>
            <w:lang w:val="ro-RO"/>
          </w:rPr>
          <w:t xml:space="preserve">Niemietz </w:t>
        </w:r>
        <w:r w:rsidRPr="00A83394">
          <w:rPr>
            <w:rStyle w:val="Bodytext2Italic1"/>
            <w:rFonts w:eastAsia="Arial Unicode MS"/>
            <w:lang w:val="ro-RO"/>
          </w:rPr>
          <w:t xml:space="preserve">împotriva </w:t>
        </w:r>
        <w:r w:rsidRPr="00F5644D">
          <w:rPr>
            <w:rStyle w:val="Bodytext2Italic1"/>
            <w:rFonts w:eastAsia="Arial Unicode MS"/>
            <w:lang w:val="ro-RO"/>
          </w:rPr>
          <w:t>German</w:t>
        </w:r>
        <w:r>
          <w:rPr>
            <w:rStyle w:val="Bodytext2Italic1"/>
            <w:rFonts w:eastAsia="Arial Unicode MS"/>
            <w:lang w:val="ro-RO"/>
          </w:rPr>
          <w:t>iei</w:t>
        </w:r>
        <w:r w:rsidRPr="00F5644D">
          <w:rPr>
            <w:rStyle w:val="Bodytext22"/>
            <w:rFonts w:eastAsia="Arial Unicode MS"/>
            <w:lang w:val="ro-RO"/>
          </w:rPr>
          <w:t xml:space="preserve"> </w:t>
        </w:r>
      </w:hyperlink>
      <w:r w:rsidRPr="00F5644D">
        <w:rPr>
          <w:lang w:val="ro-RO"/>
        </w:rPr>
        <w:t>(13710/88), 1992.</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72" w:history="1">
        <w:r w:rsidRPr="00F5644D">
          <w:rPr>
            <w:lang w:val="ro-RO"/>
          </w:rPr>
          <w:t xml:space="preserve"> </w:t>
        </w:r>
        <w:r w:rsidRPr="00F5644D">
          <w:rPr>
            <w:rStyle w:val="Bodytext20"/>
            <w:rFonts w:eastAsia="Arial Unicode MS"/>
            <w:lang w:val="ro-RO"/>
          </w:rPr>
          <w:t xml:space="preserve">S. </w:t>
        </w:r>
        <w:r w:rsidRPr="00A83394">
          <w:rPr>
            <w:rStyle w:val="Bodytext2Italic1"/>
            <w:rFonts w:eastAsia="Arial Unicode MS"/>
            <w:lang w:val="ro-RO"/>
          </w:rPr>
          <w:t>împotriva</w:t>
        </w:r>
        <w:r>
          <w:rPr>
            <w:rStyle w:val="Bodytext2Italic1"/>
            <w:rFonts w:eastAsia="Arial Unicode MS"/>
            <w:lang w:val="ro-RO"/>
          </w:rPr>
          <w:t xml:space="preserve"> Elveţiei</w:t>
        </w:r>
        <w:r w:rsidRPr="00F5644D">
          <w:rPr>
            <w:rStyle w:val="Bodytext22"/>
            <w:rFonts w:eastAsia="Arial Unicode MS"/>
            <w:lang w:val="ro-RO"/>
          </w:rPr>
          <w:t xml:space="preserve"> </w:t>
        </w:r>
      </w:hyperlink>
      <w:r w:rsidRPr="00F5644D">
        <w:rPr>
          <w:lang w:val="ro-RO"/>
        </w:rPr>
        <w:t>(12629/87), 1991.</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t>CEDO</w:t>
      </w:r>
      <w:r w:rsidRPr="00F5644D">
        <w:rPr>
          <w:lang w:val="ro-RO"/>
        </w:rPr>
        <w:t>,</w:t>
      </w:r>
      <w:hyperlink r:id="rId73" w:history="1">
        <w:r w:rsidRPr="00F5644D">
          <w:rPr>
            <w:lang w:val="ro-RO"/>
          </w:rPr>
          <w:t xml:space="preserve"> </w:t>
        </w:r>
        <w:r w:rsidRPr="00F5644D">
          <w:rPr>
            <w:rStyle w:val="Bodytext2Italic1"/>
            <w:rFonts w:eastAsia="Arial Unicode MS"/>
            <w:lang w:val="ro-RO"/>
          </w:rPr>
          <w:t xml:space="preserve">Bonzi </w:t>
        </w:r>
        <w:r w:rsidRPr="00A83394">
          <w:rPr>
            <w:rStyle w:val="Bodytext2Italic1"/>
            <w:rFonts w:eastAsia="Arial Unicode MS"/>
            <w:lang w:val="ro-RO"/>
          </w:rPr>
          <w:t>împotriva</w:t>
        </w:r>
        <w:r>
          <w:rPr>
            <w:rStyle w:val="Bodytext2Italic1"/>
            <w:rFonts w:eastAsia="Arial Unicode MS"/>
            <w:lang w:val="ro-RO"/>
          </w:rPr>
          <w:t xml:space="preserve"> Elveţiei</w:t>
        </w:r>
        <w:r w:rsidRPr="00F5644D">
          <w:rPr>
            <w:rStyle w:val="Bodytext22"/>
            <w:rFonts w:eastAsia="Arial Unicode MS"/>
            <w:lang w:val="ro-RO"/>
          </w:rPr>
          <w:t xml:space="preserve"> </w:t>
        </w:r>
      </w:hyperlink>
      <w:r w:rsidRPr="00F5644D">
        <w:rPr>
          <w:lang w:val="ro-RO"/>
        </w:rPr>
        <w:t>(7854/77), 1978.</w:t>
      </w:r>
    </w:p>
    <w:p w:rsidR="006660B9" w:rsidRPr="00F5644D" w:rsidRDefault="006660B9" w:rsidP="003A16ED">
      <w:pPr>
        <w:pStyle w:val="Bodytext31"/>
        <w:shd w:val="clear" w:color="auto" w:fill="auto"/>
        <w:spacing w:line="276" w:lineRule="auto"/>
        <w:ind w:firstLine="0"/>
        <w:rPr>
          <w:lang w:val="ro-RO"/>
        </w:rPr>
      </w:pPr>
      <w:r>
        <w:rPr>
          <w:rStyle w:val="Bodytext3NotItalic"/>
          <w:rFonts w:eastAsia="Arial Unicode MS"/>
          <w:lang w:val="ro-RO"/>
        </w:rPr>
        <w:t>CEDO</w:t>
      </w:r>
      <w:r w:rsidRPr="00F5644D">
        <w:rPr>
          <w:rStyle w:val="Bodytext3NotItalic"/>
          <w:rFonts w:eastAsia="Arial Unicode MS"/>
          <w:lang w:val="ro-RO"/>
        </w:rPr>
        <w:t xml:space="preserve">, </w:t>
      </w:r>
      <w:r w:rsidRPr="00F5644D">
        <w:rPr>
          <w:rStyle w:val="Bodytext30"/>
          <w:rFonts w:eastAsia="Arial Unicode MS"/>
          <w:i/>
          <w:iCs/>
          <w:lang w:val="ro-RO"/>
        </w:rPr>
        <w:t xml:space="preserve">Klass </w:t>
      </w:r>
      <w:r>
        <w:rPr>
          <w:rStyle w:val="Bodytext30"/>
          <w:rFonts w:eastAsia="Arial Unicode MS"/>
          <w:i/>
          <w:iCs/>
          <w:lang w:val="ro-RO"/>
        </w:rPr>
        <w:t>şi alţii</w:t>
      </w:r>
      <w:r w:rsidRPr="00A83394">
        <w:t xml:space="preserve"> </w:t>
      </w:r>
      <w:r w:rsidRPr="00A83394">
        <w:rPr>
          <w:rStyle w:val="Bodytext30"/>
          <w:rFonts w:eastAsia="Arial Unicode MS"/>
          <w:i/>
          <w:iCs/>
          <w:lang w:val="ro-RO"/>
        </w:rPr>
        <w:t>împotriva</w:t>
      </w:r>
      <w:r w:rsidRPr="00F5644D">
        <w:rPr>
          <w:rStyle w:val="Bodytext30"/>
          <w:rFonts w:eastAsia="Arial Unicode MS"/>
          <w:i/>
          <w:iCs/>
          <w:lang w:val="ro-RO"/>
        </w:rPr>
        <w:t xml:space="preserve"> German</w:t>
      </w:r>
      <w:r>
        <w:rPr>
          <w:rStyle w:val="Bodytext30"/>
          <w:rFonts w:eastAsia="Arial Unicode MS"/>
          <w:i/>
          <w:iCs/>
          <w:lang w:val="ro-RO"/>
        </w:rPr>
        <w:t>iei</w:t>
      </w:r>
      <w:r w:rsidRPr="00F5644D">
        <w:rPr>
          <w:rStyle w:val="Bodytext3NotItalic1"/>
          <w:rFonts w:eastAsia="Arial Unicode MS"/>
          <w:lang w:val="ro-RO"/>
        </w:rPr>
        <w:t xml:space="preserve"> </w:t>
      </w:r>
      <w:r w:rsidRPr="00F5644D">
        <w:rPr>
          <w:rStyle w:val="Bodytext3NotItalic"/>
          <w:rFonts w:eastAsia="Arial Unicode MS"/>
          <w:lang w:val="ro-RO"/>
        </w:rPr>
        <w:t>(5029/71), 1978.</w:t>
      </w:r>
    </w:p>
    <w:p w:rsidR="006660B9" w:rsidRPr="00F5644D" w:rsidRDefault="006660B9" w:rsidP="003A16ED">
      <w:pPr>
        <w:pStyle w:val="Bodytext31"/>
        <w:shd w:val="clear" w:color="auto" w:fill="auto"/>
        <w:spacing w:line="276" w:lineRule="auto"/>
        <w:ind w:firstLine="0"/>
        <w:rPr>
          <w:lang w:val="ro-RO"/>
        </w:rPr>
      </w:pPr>
      <w:r>
        <w:rPr>
          <w:lang w:val="ro-RO"/>
        </w:rPr>
        <w:t>Curtea de Justiţie a Uniunii Europene</w:t>
      </w:r>
    </w:p>
    <w:p w:rsidR="006660B9" w:rsidRPr="00F5644D" w:rsidRDefault="006660B9" w:rsidP="003A16ED">
      <w:pPr>
        <w:pStyle w:val="Bodytext31"/>
        <w:shd w:val="clear" w:color="auto" w:fill="auto"/>
        <w:spacing w:line="276" w:lineRule="auto"/>
        <w:ind w:firstLine="0"/>
        <w:rPr>
          <w:lang w:val="ro-RO"/>
        </w:rPr>
      </w:pPr>
      <w:r w:rsidRPr="00F5644D">
        <w:rPr>
          <w:rStyle w:val="Bodytext3NotItalic"/>
          <w:rFonts w:eastAsia="Arial Unicode MS"/>
          <w:lang w:val="ro-RO"/>
        </w:rPr>
        <w:t>CJ</w:t>
      </w:r>
      <w:r>
        <w:rPr>
          <w:rStyle w:val="Bodytext3NotItalic"/>
          <w:rFonts w:eastAsia="Arial Unicode MS"/>
          <w:lang w:val="ro-RO"/>
        </w:rPr>
        <w:t>UE</w:t>
      </w:r>
      <w:r w:rsidRPr="00F5644D">
        <w:rPr>
          <w:rStyle w:val="Bodytext3NotItalic"/>
          <w:rFonts w:eastAsia="Arial Unicode MS"/>
          <w:lang w:val="ro-RO"/>
        </w:rPr>
        <w:t>,</w:t>
      </w:r>
      <w:hyperlink r:id="rId74" w:history="1">
        <w:r w:rsidRPr="00F5644D">
          <w:rPr>
            <w:rStyle w:val="Bodytext3NotItalic"/>
            <w:rFonts w:eastAsia="Arial Unicode MS"/>
            <w:lang w:val="ro-RO"/>
          </w:rPr>
          <w:t xml:space="preserve"> </w:t>
        </w:r>
        <w:r>
          <w:rPr>
            <w:rStyle w:val="Bodytext30"/>
            <w:rFonts w:eastAsia="Arial Unicode MS"/>
            <w:i/>
            <w:iCs/>
            <w:lang w:val="ro-RO"/>
          </w:rPr>
          <w:t>Comisia Europeană împotriva</w:t>
        </w:r>
        <w:r w:rsidRPr="00F5644D">
          <w:rPr>
            <w:rStyle w:val="Bodytext30"/>
            <w:rFonts w:eastAsia="Arial Unicode MS"/>
            <w:i/>
            <w:iCs/>
            <w:lang w:val="ro-RO"/>
          </w:rPr>
          <w:t xml:space="preserve"> </w:t>
        </w:r>
        <w:r w:rsidRPr="00A83394">
          <w:rPr>
            <w:rStyle w:val="Bodytext30"/>
            <w:rFonts w:eastAsia="Arial Unicode MS"/>
            <w:i/>
            <w:iCs/>
            <w:lang w:val="ro-RO"/>
          </w:rPr>
          <w:t>Republic</w:t>
        </w:r>
        <w:r>
          <w:rPr>
            <w:rStyle w:val="Bodytext30"/>
            <w:rFonts w:eastAsia="Arial Unicode MS"/>
            <w:i/>
            <w:iCs/>
            <w:lang w:val="ro-RO"/>
          </w:rPr>
          <w:t>ii</w:t>
        </w:r>
        <w:r w:rsidRPr="00A83394">
          <w:rPr>
            <w:rStyle w:val="Bodytext30"/>
            <w:rFonts w:eastAsia="Arial Unicode MS"/>
            <w:i/>
            <w:iCs/>
            <w:lang w:val="ro-RO"/>
          </w:rPr>
          <w:t xml:space="preserve"> </w:t>
        </w:r>
        <w:r w:rsidRPr="00F5644D">
          <w:rPr>
            <w:rStyle w:val="Bodytext30"/>
            <w:rFonts w:eastAsia="Arial Unicode MS"/>
            <w:i/>
            <w:iCs/>
            <w:lang w:val="ro-RO"/>
          </w:rPr>
          <w:t>Itali</w:t>
        </w:r>
        <w:r>
          <w:rPr>
            <w:rStyle w:val="Bodytext30"/>
            <w:rFonts w:eastAsia="Arial Unicode MS"/>
            <w:i/>
            <w:iCs/>
            <w:lang w:val="ro-RO"/>
          </w:rPr>
          <w:t>e</w:t>
        </w:r>
        <w:r w:rsidRPr="00F5644D">
          <w:rPr>
            <w:rStyle w:val="Bodytext30"/>
            <w:rFonts w:eastAsia="Arial Unicode MS"/>
            <w:i/>
            <w:iCs/>
            <w:lang w:val="ro-RO"/>
          </w:rPr>
          <w:t>n</w:t>
        </w:r>
        <w:r>
          <w:rPr>
            <w:rStyle w:val="Bodytext30"/>
            <w:rFonts w:eastAsia="Arial Unicode MS"/>
            <w:i/>
            <w:iCs/>
            <w:lang w:val="ro-RO"/>
          </w:rPr>
          <w:t>e</w:t>
        </w:r>
        <w:r w:rsidRPr="00F5644D">
          <w:rPr>
            <w:rStyle w:val="Bodytext30"/>
            <w:rFonts w:eastAsia="Arial Unicode MS"/>
            <w:i/>
            <w:iCs/>
            <w:lang w:val="ro-RO"/>
          </w:rPr>
          <w:t xml:space="preserve"> </w:t>
        </w:r>
      </w:hyperlink>
      <w:r w:rsidRPr="00F5644D">
        <w:rPr>
          <w:rStyle w:val="Bodytext3NotItalic"/>
          <w:rFonts w:eastAsia="Arial Unicode MS"/>
          <w:lang w:val="ro-RO"/>
        </w:rPr>
        <w:t>(387/05), 2009.</w:t>
      </w:r>
    </w:p>
    <w:p w:rsidR="006660B9" w:rsidRPr="00F5644D" w:rsidRDefault="006660B9" w:rsidP="003A16ED">
      <w:pPr>
        <w:pStyle w:val="Bodytext31"/>
        <w:shd w:val="clear" w:color="auto" w:fill="auto"/>
        <w:spacing w:line="276" w:lineRule="auto"/>
        <w:ind w:firstLine="0"/>
        <w:rPr>
          <w:lang w:val="ro-RO"/>
        </w:rPr>
      </w:pPr>
      <w:r w:rsidRPr="00F5644D">
        <w:rPr>
          <w:rStyle w:val="Bodytext3NotItalic"/>
          <w:rFonts w:eastAsia="Arial Unicode MS"/>
          <w:lang w:val="ro-RO"/>
        </w:rPr>
        <w:t>CJ</w:t>
      </w:r>
      <w:r>
        <w:rPr>
          <w:rStyle w:val="Bodytext3NotItalic"/>
          <w:rFonts w:eastAsia="Arial Unicode MS"/>
          <w:lang w:val="ro-RO"/>
        </w:rPr>
        <w:t>UE</w:t>
      </w:r>
      <w:r w:rsidRPr="00F5644D">
        <w:rPr>
          <w:rStyle w:val="Bodytext3NotItalic"/>
          <w:rFonts w:eastAsia="Arial Unicode MS"/>
          <w:lang w:val="ro-RO"/>
        </w:rPr>
        <w:t>,</w:t>
      </w:r>
      <w:hyperlink r:id="rId75" w:history="1">
        <w:r w:rsidRPr="00F5644D">
          <w:rPr>
            <w:rStyle w:val="Bodytext3NotItalic"/>
            <w:rFonts w:eastAsia="Arial Unicode MS"/>
            <w:lang w:val="ro-RO"/>
          </w:rPr>
          <w:t xml:space="preserve"> </w:t>
        </w:r>
        <w:r w:rsidRPr="00F5644D">
          <w:rPr>
            <w:rStyle w:val="Bodytext30"/>
            <w:rFonts w:eastAsia="Arial Unicode MS"/>
            <w:i/>
            <w:iCs/>
            <w:lang w:val="ro-RO"/>
          </w:rPr>
          <w:t>Ordre des barreaux francophones et germanophone and others v. Conseil des ministres</w:t>
        </w:r>
      </w:hyperlink>
      <w:r w:rsidRPr="00F5644D">
        <w:rPr>
          <w:rStyle w:val="Bodytext30"/>
          <w:rFonts w:eastAsia="Arial Unicode MS"/>
          <w:i/>
          <w:iCs/>
          <w:lang w:val="ro-RO"/>
        </w:rPr>
        <w:t xml:space="preserve"> </w:t>
      </w:r>
      <w:r w:rsidRPr="00F5644D">
        <w:rPr>
          <w:rStyle w:val="Bodytext3NotItalic"/>
          <w:rFonts w:eastAsia="Arial Unicode MS"/>
          <w:lang w:val="ro-RO"/>
        </w:rPr>
        <w:t>(305/05), 2007.</w:t>
      </w:r>
    </w:p>
    <w:p w:rsidR="006660B9" w:rsidRPr="00F5644D" w:rsidRDefault="006660B9" w:rsidP="003A16ED">
      <w:pPr>
        <w:pStyle w:val="Bodytext21"/>
        <w:shd w:val="clear" w:color="auto" w:fill="auto"/>
        <w:spacing w:line="276" w:lineRule="auto"/>
        <w:ind w:firstLine="0"/>
        <w:jc w:val="both"/>
        <w:rPr>
          <w:lang w:val="ro-RO"/>
        </w:rPr>
      </w:pPr>
      <w:r w:rsidRPr="00085CE4">
        <w:rPr>
          <w:rStyle w:val="Bodytext3NotItalic"/>
          <w:rFonts w:eastAsia="Arial Unicode MS"/>
          <w:i w:val="0"/>
          <w:lang w:val="ro-RO"/>
        </w:rPr>
        <w:lastRenderedPageBreak/>
        <w:t>CJUE</w:t>
      </w:r>
      <w:r w:rsidRPr="00F5644D">
        <w:rPr>
          <w:lang w:val="ro-RO"/>
        </w:rPr>
        <w:t>,</w:t>
      </w:r>
      <w:hyperlink r:id="rId76" w:history="1">
        <w:r w:rsidRPr="00F5644D">
          <w:rPr>
            <w:lang w:val="ro-RO"/>
          </w:rPr>
          <w:t xml:space="preserve"> </w:t>
        </w:r>
        <w:r w:rsidRPr="00F5644D">
          <w:rPr>
            <w:rStyle w:val="Bodytext2Italic1"/>
            <w:rFonts w:eastAsia="Arial Unicode MS"/>
            <w:lang w:val="ro-RO"/>
          </w:rPr>
          <w:t xml:space="preserve">AM &amp; S </w:t>
        </w:r>
        <w:r>
          <w:rPr>
            <w:rStyle w:val="Bodytext2Italic1"/>
            <w:rFonts w:eastAsia="Arial Unicode MS"/>
            <w:lang w:val="ro-RO"/>
          </w:rPr>
          <w:t>împotriva Comisiei</w:t>
        </w:r>
        <w:r w:rsidRPr="00F5644D">
          <w:rPr>
            <w:rStyle w:val="Bodytext22"/>
            <w:rFonts w:eastAsia="Arial Unicode MS"/>
            <w:lang w:val="ro-RO"/>
          </w:rPr>
          <w:t xml:space="preserve"> </w:t>
        </w:r>
      </w:hyperlink>
      <w:r w:rsidRPr="00F5644D">
        <w:rPr>
          <w:lang w:val="ro-RO"/>
        </w:rPr>
        <w:t>(155/79), 1982.</w:t>
      </w:r>
    </w:p>
    <w:p w:rsidR="006660B9" w:rsidRPr="00F5644D" w:rsidRDefault="006660B9" w:rsidP="003A16ED">
      <w:pPr>
        <w:pStyle w:val="Bodytext31"/>
        <w:shd w:val="clear" w:color="auto" w:fill="auto"/>
        <w:spacing w:line="276" w:lineRule="auto"/>
        <w:ind w:firstLine="0"/>
        <w:rPr>
          <w:lang w:val="ro-RO"/>
        </w:rPr>
      </w:pPr>
      <w:r>
        <w:rPr>
          <w:lang w:val="ro-RO"/>
        </w:rPr>
        <w:t>Jurisprudenţă naţională</w:t>
      </w:r>
    </w:p>
    <w:p w:rsidR="006660B9" w:rsidRPr="00F5644D" w:rsidRDefault="006660B9" w:rsidP="003A16ED">
      <w:pPr>
        <w:pStyle w:val="Bodytext31"/>
        <w:shd w:val="clear" w:color="auto" w:fill="auto"/>
        <w:spacing w:line="276" w:lineRule="auto"/>
        <w:ind w:firstLine="0"/>
        <w:rPr>
          <w:lang w:val="ro-RO"/>
        </w:rPr>
      </w:pPr>
      <w:r>
        <w:rPr>
          <w:rStyle w:val="Bodytext3NotItalic"/>
          <w:rFonts w:eastAsia="Arial Unicode MS"/>
          <w:lang w:val="ro-RO"/>
        </w:rPr>
        <w:t>Curtea de Apel din Haga</w:t>
      </w:r>
      <w:r w:rsidRPr="00F5644D">
        <w:rPr>
          <w:rStyle w:val="Bodytext3NotItalic"/>
          <w:rFonts w:eastAsia="Arial Unicode MS"/>
          <w:lang w:val="ro-RO"/>
        </w:rPr>
        <w:t>,</w:t>
      </w:r>
      <w:hyperlink r:id="rId77" w:history="1">
        <w:r w:rsidRPr="00F5644D">
          <w:rPr>
            <w:rStyle w:val="Bodytext3NotItalic"/>
            <w:rFonts w:eastAsia="Arial Unicode MS"/>
            <w:lang w:val="ro-RO"/>
          </w:rPr>
          <w:t xml:space="preserve"> </w:t>
        </w:r>
        <w:r w:rsidRPr="00F5644D">
          <w:rPr>
            <w:rStyle w:val="Bodytext30"/>
            <w:rFonts w:eastAsia="Arial Unicode MS"/>
            <w:i/>
            <w:iCs/>
            <w:lang w:val="ro-RO"/>
          </w:rPr>
          <w:t xml:space="preserve">Prakken D’Oliveira </w:t>
        </w:r>
        <w:r>
          <w:rPr>
            <w:rStyle w:val="Bodytext30"/>
            <w:rFonts w:eastAsia="Arial Unicode MS"/>
            <w:i/>
            <w:iCs/>
            <w:lang w:val="ro-RO"/>
          </w:rPr>
          <w:t>şi alţii</w:t>
        </w:r>
        <w:r w:rsidRPr="00A83394">
          <w:rPr>
            <w:rStyle w:val="Bodytext30"/>
            <w:rFonts w:eastAsia="Arial Unicode MS"/>
            <w:i/>
            <w:iCs/>
            <w:lang w:val="ro-RO"/>
          </w:rPr>
          <w:t xml:space="preserve"> împotriva </w:t>
        </w:r>
        <w:r>
          <w:rPr>
            <w:rStyle w:val="Bodytext30"/>
            <w:rFonts w:eastAsia="Arial Unicode MS"/>
            <w:i/>
            <w:iCs/>
            <w:lang w:val="ro-RO"/>
          </w:rPr>
          <w:t>Olandei</w:t>
        </w:r>
        <w:r w:rsidRPr="00F5644D">
          <w:rPr>
            <w:lang w:val="ro-RO"/>
          </w:rPr>
          <w:t>,</w:t>
        </w:r>
        <w:r w:rsidRPr="00F5644D">
          <w:rPr>
            <w:rStyle w:val="Bodytext3NotItalic"/>
            <w:rFonts w:eastAsia="Arial Unicode MS"/>
            <w:lang w:val="ro-RO"/>
          </w:rPr>
          <w:t xml:space="preserve"> </w:t>
        </w:r>
      </w:hyperlink>
      <w:r w:rsidRPr="00F5644D">
        <w:rPr>
          <w:rStyle w:val="Bodytext3NotItalic"/>
          <w:rFonts w:eastAsia="Arial Unicode MS"/>
          <w:lang w:val="ro-RO"/>
        </w:rPr>
        <w:t>n. 200 174 280/01,2015.</w:t>
      </w:r>
    </w:p>
    <w:p w:rsidR="006660B9" w:rsidRPr="00F5644D" w:rsidRDefault="006660B9" w:rsidP="003A16ED">
      <w:pPr>
        <w:pStyle w:val="Bodytext21"/>
        <w:shd w:val="clear" w:color="auto" w:fill="auto"/>
        <w:spacing w:line="276" w:lineRule="auto"/>
        <w:ind w:firstLine="0"/>
        <w:jc w:val="both"/>
        <w:rPr>
          <w:lang w:val="ro-RO"/>
        </w:rPr>
      </w:pPr>
      <w:r>
        <w:rPr>
          <w:lang w:val="ro-RO"/>
        </w:rPr>
        <w:t>Camera Lorzilor</w:t>
      </w:r>
      <w:r w:rsidRPr="00F5644D">
        <w:rPr>
          <w:lang w:val="ro-RO"/>
        </w:rPr>
        <w:t>,</w:t>
      </w:r>
      <w:hyperlink r:id="rId78" w:history="1">
        <w:r w:rsidRPr="00F5644D">
          <w:rPr>
            <w:lang w:val="ro-RO"/>
          </w:rPr>
          <w:t xml:space="preserve"> </w:t>
        </w:r>
        <w:r w:rsidRPr="00F5644D">
          <w:rPr>
            <w:rStyle w:val="Bodytext2Italic1"/>
            <w:rFonts w:eastAsia="Arial Unicode MS"/>
            <w:lang w:val="ro-RO"/>
          </w:rPr>
          <w:t>Re McE</w:t>
        </w:r>
        <w:r w:rsidRPr="00F5644D">
          <w:rPr>
            <w:rStyle w:val="Bodytext2Italic"/>
            <w:rFonts w:eastAsia="Arial Unicode MS"/>
            <w:lang w:val="ro-RO"/>
          </w:rPr>
          <w:t>,</w:t>
        </w:r>
      </w:hyperlink>
      <w:r w:rsidRPr="00F5644D">
        <w:rPr>
          <w:lang w:val="ro-RO"/>
        </w:rPr>
        <w:t xml:space="preserve"> UKHL 15, 2009.</w:t>
      </w:r>
    </w:p>
    <w:p w:rsidR="006660B9" w:rsidRPr="00F5644D" w:rsidRDefault="006660B9" w:rsidP="003A16ED">
      <w:pPr>
        <w:pStyle w:val="Bodytext21"/>
        <w:shd w:val="clear" w:color="auto" w:fill="auto"/>
        <w:spacing w:line="276" w:lineRule="auto"/>
        <w:ind w:firstLine="0"/>
        <w:jc w:val="both"/>
        <w:rPr>
          <w:lang w:val="ro-RO"/>
        </w:rPr>
      </w:pPr>
      <w:r>
        <w:rPr>
          <w:lang w:val="ro-RO"/>
        </w:rPr>
        <w:t>Curtea Constituţională a Republicii Cehe</w:t>
      </w:r>
      <w:r w:rsidRPr="00F5644D">
        <w:rPr>
          <w:lang w:val="ro-RO"/>
        </w:rPr>
        <w:t>, Pl. US 24/10, 2011.</w:t>
      </w:r>
    </w:p>
    <w:sectPr w:rsidR="006660B9" w:rsidRPr="00F5644D" w:rsidSect="003A16ED">
      <w:pgSz w:w="11909" w:h="16840"/>
      <w:pgMar w:top="1440" w:right="1440" w:bottom="1440" w:left="144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9" w:rsidRDefault="006660B9" w:rsidP="0040281A">
      <w:r>
        <w:separator/>
      </w:r>
    </w:p>
  </w:endnote>
  <w:endnote w:type="continuationSeparator" w:id="0">
    <w:p w:rsidR="006660B9" w:rsidRDefault="006660B9" w:rsidP="0040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9" w:rsidRDefault="006660B9">
      <w:r>
        <w:separator/>
      </w:r>
    </w:p>
  </w:footnote>
  <w:footnote w:type="continuationSeparator" w:id="0">
    <w:p w:rsidR="006660B9" w:rsidRDefault="006660B9">
      <w:r>
        <w:continuationSeparator/>
      </w:r>
    </w:p>
  </w:footnote>
  <w:footnote w:id="1">
    <w:p w:rsidR="006660B9" w:rsidRDefault="006660B9" w:rsidP="00D71D7F">
      <w:pPr>
        <w:pStyle w:val="Footnote1"/>
        <w:shd w:val="clear" w:color="auto" w:fill="auto"/>
        <w:tabs>
          <w:tab w:val="left" w:pos="1263"/>
        </w:tabs>
        <w:ind w:left="360" w:hanging="360"/>
      </w:pPr>
      <w:r w:rsidRPr="004075C8">
        <w:rPr>
          <w:vertAlign w:val="superscript"/>
          <w:lang w:val="ro-RO"/>
        </w:rPr>
        <w:footnoteRef/>
      </w:r>
      <w:hyperlink r:id="rId1" w:history="1">
        <w:r w:rsidRPr="004075C8">
          <w:rPr>
            <w:lang w:val="ro-RO"/>
          </w:rPr>
          <w:tab/>
        </w:r>
        <w:r w:rsidRPr="004075C8">
          <w:rPr>
            <w:rStyle w:val="Footnote0"/>
            <w:rFonts w:eastAsia="Arial Unicode MS"/>
            <w:lang w:val="ro-RO"/>
          </w:rPr>
          <w:t>Declara</w:t>
        </w:r>
        <w:r>
          <w:rPr>
            <w:rStyle w:val="Footnote0"/>
            <w:rFonts w:eastAsia="Arial Unicode MS"/>
            <w:lang w:val="ro-RO"/>
          </w:rPr>
          <w:t>ţ</w:t>
        </w:r>
        <w:r w:rsidRPr="004075C8">
          <w:rPr>
            <w:rStyle w:val="Footnote0"/>
            <w:rFonts w:eastAsia="Arial Unicode MS"/>
            <w:lang w:val="ro-RO"/>
          </w:rPr>
          <w:t>ia CCBE privind supravegherea electronică de masă de către organismele guvernamentale (inclusiv datele avoca</w:t>
        </w:r>
        <w:r>
          <w:rPr>
            <w:rStyle w:val="Footnote0"/>
            <w:rFonts w:eastAsia="Arial Unicode MS"/>
            <w:lang w:val="ro-RO"/>
          </w:rPr>
          <w:t>ţ</w:t>
        </w:r>
        <w:r w:rsidRPr="004075C8">
          <w:rPr>
            <w:rStyle w:val="Footnote0"/>
            <w:rFonts w:eastAsia="Arial Unicode MS"/>
            <w:lang w:val="ro-RO"/>
          </w:rPr>
          <w:t>ilor europeni)</w:t>
        </w:r>
        <w:r w:rsidRPr="004075C8">
          <w:rPr>
            <w:lang w:val="ro-RO"/>
          </w:rPr>
          <w:t xml:space="preserve"> </w:t>
        </w:r>
      </w:hyperlink>
      <w:r w:rsidRPr="004075C8">
        <w:rPr>
          <w:lang w:val="ro-RO"/>
        </w:rPr>
        <w:t>2013;</w:t>
      </w:r>
      <w:r w:rsidRPr="004075C8">
        <w:rPr>
          <w:rStyle w:val="Footnote0"/>
          <w:rFonts w:eastAsia="Arial Unicode MS"/>
          <w:lang w:val="ro-RO"/>
        </w:rPr>
        <w:t xml:space="preserve"> Studiu </w:t>
      </w:r>
      <w:hyperlink r:id="rId2" w:history="1">
        <w:r w:rsidRPr="004075C8">
          <w:rPr>
            <w:rStyle w:val="Footnote0"/>
            <w:rFonts w:eastAsia="Arial Unicode MS"/>
            <w:lang w:val="ro-RO"/>
          </w:rPr>
          <w:t>comparativ efectuat de CCBE în legătură cu supravegherea guvernamentală a datelor avoca</w:t>
        </w:r>
        <w:r>
          <w:rPr>
            <w:rStyle w:val="Footnote0"/>
            <w:rFonts w:eastAsia="Arial Unicode MS"/>
            <w:lang w:val="ro-RO"/>
          </w:rPr>
          <w:t>ţ</w:t>
        </w:r>
        <w:r w:rsidRPr="004075C8">
          <w:rPr>
            <w:rStyle w:val="Footnote0"/>
            <w:rFonts w:eastAsia="Arial Unicode MS"/>
            <w:lang w:val="ro-RO"/>
          </w:rPr>
          <w:t>ilor în Cloud</w:t>
        </w:r>
        <w:r w:rsidRPr="004075C8">
          <w:rPr>
            <w:lang w:val="ro-RO"/>
          </w:rPr>
          <w:t xml:space="preserve">, </w:t>
        </w:r>
      </w:hyperlink>
      <w:r w:rsidRPr="004075C8">
        <w:rPr>
          <w:lang w:val="ro-RO"/>
        </w:rPr>
        <w:t xml:space="preserve">2014; </w:t>
      </w:r>
      <w:r w:rsidRPr="004075C8">
        <w:rPr>
          <w:rStyle w:val="Footnote0"/>
          <w:rFonts w:eastAsia="Arial Unicode MS"/>
          <w:lang w:val="ro-RO"/>
        </w:rPr>
        <w:t>Avoca</w:t>
      </w:r>
      <w:r>
        <w:rPr>
          <w:rStyle w:val="Footnote0"/>
          <w:rFonts w:eastAsia="Arial Unicode MS"/>
          <w:lang w:val="ro-RO"/>
        </w:rPr>
        <w:t>ţ</w:t>
      </w:r>
      <w:r w:rsidRPr="004075C8">
        <w:rPr>
          <w:rStyle w:val="Footnote0"/>
          <w:rFonts w:eastAsia="Arial Unicode MS"/>
          <w:lang w:val="ro-RO"/>
        </w:rPr>
        <w:t>ii europeni salută ac</w:t>
      </w:r>
      <w:r>
        <w:rPr>
          <w:rStyle w:val="Footnote0"/>
          <w:rFonts w:eastAsia="Arial Unicode MS"/>
          <w:lang w:val="ro-RO"/>
        </w:rPr>
        <w:t>ţ</w:t>
      </w:r>
      <w:r w:rsidRPr="004075C8">
        <w:rPr>
          <w:rStyle w:val="Footnote0"/>
          <w:rFonts w:eastAsia="Arial Unicode MS"/>
          <w:lang w:val="ro-RO"/>
        </w:rPr>
        <w:t xml:space="preserve">iunea Parlamentului European împotriva supravegherii electronice de masă, </w:t>
      </w:r>
      <w:r w:rsidRPr="004075C8">
        <w:rPr>
          <w:lang w:val="ro-RO"/>
        </w:rPr>
        <w:t xml:space="preserve">2014; </w:t>
      </w:r>
      <w:r w:rsidRPr="004075C8">
        <w:rPr>
          <w:rStyle w:val="Footnote0"/>
          <w:rFonts w:eastAsia="Arial Unicode MS"/>
          <w:lang w:val="ro-RO"/>
        </w:rPr>
        <w:t>Scrisoare către Parlamentul Poloniei în legătură cu proiectul de lege privind modificările aduse legii privind institu</w:t>
      </w:r>
      <w:r>
        <w:rPr>
          <w:rStyle w:val="Footnote0"/>
          <w:rFonts w:eastAsia="Arial Unicode MS"/>
          <w:lang w:val="ro-RO"/>
        </w:rPr>
        <w:t>ţ</w:t>
      </w:r>
      <w:r w:rsidRPr="004075C8">
        <w:rPr>
          <w:rStyle w:val="Footnote0"/>
          <w:rFonts w:eastAsia="Arial Unicode MS"/>
          <w:lang w:val="ro-RO"/>
        </w:rPr>
        <w:t>ia poli</w:t>
      </w:r>
      <w:r>
        <w:rPr>
          <w:rStyle w:val="Footnote0"/>
          <w:rFonts w:eastAsia="Arial Unicode MS"/>
          <w:lang w:val="ro-RO"/>
        </w:rPr>
        <w:t>ţ</w:t>
      </w:r>
      <w:r w:rsidRPr="004075C8">
        <w:rPr>
          <w:rStyle w:val="Footnote0"/>
          <w:rFonts w:eastAsia="Arial Unicode MS"/>
          <w:lang w:val="ro-RO"/>
        </w:rPr>
        <w:t xml:space="preserve">iei </w:t>
      </w:r>
      <w:r>
        <w:rPr>
          <w:rStyle w:val="Footnote0"/>
          <w:rFonts w:eastAsia="Arial Unicode MS"/>
          <w:lang w:val="ro-RO"/>
        </w:rPr>
        <w:t>ş</w:t>
      </w:r>
      <w:r w:rsidRPr="004075C8">
        <w:rPr>
          <w:rStyle w:val="Footnote0"/>
          <w:rFonts w:eastAsia="Arial Unicode MS"/>
          <w:lang w:val="ro-RO"/>
        </w:rPr>
        <w:t>i altor legi în legătură cu hotărârea Tribunalului Constitu</w:t>
      </w:r>
      <w:r>
        <w:rPr>
          <w:rStyle w:val="Footnote0"/>
          <w:rFonts w:eastAsia="Arial Unicode MS"/>
          <w:lang w:val="ro-RO"/>
        </w:rPr>
        <w:t>ţ</w:t>
      </w:r>
      <w:r w:rsidRPr="004075C8">
        <w:rPr>
          <w:rStyle w:val="Footnote0"/>
          <w:rFonts w:eastAsia="Arial Unicode MS"/>
          <w:lang w:val="ro-RO"/>
        </w:rPr>
        <w:t>ional al Poloniei din</w:t>
      </w:r>
      <w:hyperlink r:id="rId3" w:history="1">
        <w:r w:rsidRPr="004075C8">
          <w:rPr>
            <w:rStyle w:val="Footnote0"/>
            <w:rFonts w:eastAsia="Arial Unicode MS"/>
            <w:lang w:val="ro-RO"/>
          </w:rPr>
          <w:t xml:space="preserve"> 30</w:t>
        </w:r>
      </w:hyperlink>
      <w:r w:rsidRPr="004075C8">
        <w:rPr>
          <w:rStyle w:val="Footnote0"/>
          <w:rFonts w:eastAsia="Arial Unicode MS"/>
          <w:lang w:val="ro-RO"/>
        </w:rPr>
        <w:t xml:space="preserve"> </w:t>
      </w:r>
      <w:hyperlink r:id="rId4" w:history="1">
        <w:r w:rsidRPr="004075C8">
          <w:rPr>
            <w:rStyle w:val="Footnote0"/>
            <w:rFonts w:eastAsia="Arial Unicode MS"/>
            <w:lang w:val="ro-RO"/>
          </w:rPr>
          <w:t>iulie 2014</w:t>
        </w:r>
        <w:r w:rsidRPr="004075C8">
          <w:rPr>
            <w:lang w:val="ro-RO"/>
          </w:rPr>
          <w:t xml:space="preserve">. </w:t>
        </w:r>
      </w:hyperlink>
      <w:r w:rsidRPr="004075C8">
        <w:rPr>
          <w:lang w:val="ro-RO"/>
        </w:rPr>
        <w:t>2016;</w:t>
      </w:r>
      <w:hyperlink r:id="rId5" w:history="1">
        <w:r w:rsidRPr="004075C8">
          <w:rPr>
            <w:lang w:val="ro-RO"/>
          </w:rPr>
          <w:t xml:space="preserve"> </w:t>
        </w:r>
        <w:r w:rsidRPr="004075C8">
          <w:rPr>
            <w:rStyle w:val="Footnote0"/>
            <w:rFonts w:eastAsia="Arial Unicode MS"/>
            <w:lang w:val="ro-RO"/>
          </w:rPr>
          <w:t>Scrisoarea CCBE către James Brokenshire MP, ministru pentru imigra</w:t>
        </w:r>
        <w:r>
          <w:rPr>
            <w:rStyle w:val="Footnote0"/>
            <w:rFonts w:eastAsia="Arial Unicode MS"/>
            <w:lang w:val="ro-RO"/>
          </w:rPr>
          <w:t>ţ</w:t>
        </w:r>
        <w:r w:rsidRPr="004075C8">
          <w:rPr>
            <w:rStyle w:val="Footnote0"/>
            <w:rFonts w:eastAsia="Arial Unicode MS"/>
            <w:lang w:val="ro-RO"/>
          </w:rPr>
          <w:t xml:space="preserve">ie </w:t>
        </w:r>
        <w:r>
          <w:rPr>
            <w:rStyle w:val="Footnote0"/>
            <w:rFonts w:eastAsia="Arial Unicode MS"/>
            <w:lang w:val="ro-RO"/>
          </w:rPr>
          <w:t>ş</w:t>
        </w:r>
        <w:r w:rsidRPr="004075C8">
          <w:rPr>
            <w:rStyle w:val="Footnote0"/>
            <w:rFonts w:eastAsia="Arial Unicode MS"/>
            <w:lang w:val="ro-RO"/>
          </w:rPr>
          <w:t>i securitate în cadrul guvernului Regatului Unit,</w:t>
        </w:r>
        <w:r w:rsidRPr="004075C8">
          <w:rPr>
            <w:lang w:val="ro-RO"/>
          </w:rPr>
          <w:t xml:space="preserve"> </w:t>
        </w:r>
      </w:hyperlink>
      <w:r w:rsidRPr="004075C8">
        <w:rPr>
          <w:lang w:val="ro-RO"/>
        </w:rPr>
        <w:t>2015;</w:t>
      </w:r>
      <w:r w:rsidRPr="004075C8">
        <w:rPr>
          <w:rStyle w:val="Footnote0"/>
          <w:rFonts w:eastAsia="Arial Unicode MS"/>
          <w:lang w:val="ro-RO"/>
        </w:rPr>
        <w:t xml:space="preserve"> Curtea olandeză </w:t>
      </w:r>
      <w:hyperlink r:id="rId6" w:history="1">
        <w:r w:rsidRPr="004075C8">
          <w:rPr>
            <w:rStyle w:val="Footnote0"/>
            <w:rFonts w:eastAsia="Arial Unicode MS"/>
            <w:lang w:val="ro-RO"/>
          </w:rPr>
          <w:t>men</w:t>
        </w:r>
        <w:r>
          <w:rPr>
            <w:rStyle w:val="Footnote0"/>
            <w:rFonts w:eastAsia="Arial Unicode MS"/>
            <w:lang w:val="ro-RO"/>
          </w:rPr>
          <w:t>ţ</w:t>
        </w:r>
        <w:r w:rsidRPr="004075C8">
          <w:rPr>
            <w:rStyle w:val="Footnote0"/>
            <w:rFonts w:eastAsia="Arial Unicode MS"/>
            <w:lang w:val="ro-RO"/>
          </w:rPr>
          <w:t>ine hotărârea instan</w:t>
        </w:r>
        <w:r>
          <w:rPr>
            <w:rStyle w:val="Footnote0"/>
            <w:rFonts w:eastAsia="Arial Unicode MS"/>
            <w:lang w:val="ro-RO"/>
          </w:rPr>
          <w:t>ţ</w:t>
        </w:r>
        <w:r w:rsidRPr="004075C8">
          <w:rPr>
            <w:rStyle w:val="Footnote0"/>
            <w:rFonts w:eastAsia="Arial Unicode MS"/>
            <w:lang w:val="ro-RO"/>
          </w:rPr>
          <w:t>ei inferioare prin care este interzisă supravegherea comunicărilor avoca</w:t>
        </w:r>
        <w:r>
          <w:rPr>
            <w:rStyle w:val="Footnote0"/>
            <w:rFonts w:eastAsia="Arial Unicode MS"/>
            <w:lang w:val="ro-RO"/>
          </w:rPr>
          <w:t>ţ</w:t>
        </w:r>
        <w:r w:rsidRPr="004075C8">
          <w:rPr>
            <w:rStyle w:val="Footnote0"/>
            <w:rFonts w:eastAsia="Arial Unicode MS"/>
            <w:lang w:val="ro-RO"/>
          </w:rPr>
          <w:t>ilor, după interven</w:t>
        </w:r>
        <w:r>
          <w:rPr>
            <w:rStyle w:val="Footnote0"/>
            <w:rFonts w:eastAsia="Arial Unicode MS"/>
            <w:lang w:val="ro-RO"/>
          </w:rPr>
          <w:t>ţ</w:t>
        </w:r>
        <w:r w:rsidRPr="004075C8">
          <w:rPr>
            <w:rStyle w:val="Footnote0"/>
            <w:rFonts w:eastAsia="Arial Unicode MS"/>
            <w:lang w:val="ro-RO"/>
          </w:rPr>
          <w:t>ia de succes a CCBE,</w:t>
        </w:r>
        <w:r w:rsidRPr="004075C8">
          <w:rPr>
            <w:lang w:val="ro-RO"/>
          </w:rPr>
          <w:t xml:space="preserve"> </w:t>
        </w:r>
      </w:hyperlink>
      <w:r w:rsidRPr="004075C8">
        <w:rPr>
          <w:lang w:val="ro-RO"/>
        </w:rPr>
        <w:t xml:space="preserve">2015; </w:t>
      </w:r>
      <w:r w:rsidRPr="004075C8">
        <w:rPr>
          <w:rStyle w:val="Footnote0"/>
          <w:rFonts w:eastAsia="Arial Unicode MS"/>
          <w:lang w:val="ro-RO"/>
        </w:rPr>
        <w:t>CCBE a intervenit înaintea Consiliului Constitu</w:t>
      </w:r>
      <w:r>
        <w:rPr>
          <w:rStyle w:val="Footnote0"/>
          <w:rFonts w:eastAsia="Arial Unicode MS"/>
          <w:lang w:val="ro-RO"/>
        </w:rPr>
        <w:t>ţ</w:t>
      </w:r>
      <w:r w:rsidRPr="004075C8">
        <w:rPr>
          <w:rStyle w:val="Footnote0"/>
          <w:rFonts w:eastAsia="Arial Unicode MS"/>
          <w:lang w:val="ro-RO"/>
        </w:rPr>
        <w:t>ional al Fran</w:t>
      </w:r>
      <w:r>
        <w:rPr>
          <w:rStyle w:val="Footnote0"/>
          <w:rFonts w:eastAsia="Arial Unicode MS"/>
          <w:lang w:val="ro-RO"/>
        </w:rPr>
        <w:t>ţ</w:t>
      </w:r>
      <w:r w:rsidRPr="004075C8">
        <w:rPr>
          <w:rStyle w:val="Footnote0"/>
          <w:rFonts w:eastAsia="Arial Unicode MS"/>
          <w:lang w:val="ro-RO"/>
        </w:rPr>
        <w:t>ei pentru a apăra confiden</w:t>
      </w:r>
      <w:r>
        <w:rPr>
          <w:rStyle w:val="Footnote0"/>
          <w:rFonts w:eastAsia="Arial Unicode MS"/>
          <w:lang w:val="ro-RO"/>
        </w:rPr>
        <w:t>ţ</w:t>
      </w:r>
      <w:r w:rsidRPr="004075C8">
        <w:rPr>
          <w:rStyle w:val="Footnote0"/>
          <w:rFonts w:eastAsia="Arial Unicode MS"/>
          <w:lang w:val="ro-RO"/>
        </w:rPr>
        <w:t>ialitatea comunicărilor între avoca</w:t>
      </w:r>
      <w:r>
        <w:rPr>
          <w:rStyle w:val="Footnote0"/>
          <w:rFonts w:eastAsia="Arial Unicode MS"/>
          <w:lang w:val="ro-RO"/>
        </w:rPr>
        <w:t>ţ</w:t>
      </w:r>
      <w:r w:rsidRPr="004075C8">
        <w:rPr>
          <w:rStyle w:val="Footnote0"/>
          <w:rFonts w:eastAsia="Arial Unicode MS"/>
          <w:lang w:val="ro-RO"/>
        </w:rPr>
        <w:t xml:space="preserve">i </w:t>
      </w:r>
      <w:r>
        <w:rPr>
          <w:rStyle w:val="Footnote0"/>
          <w:rFonts w:eastAsia="Arial Unicode MS"/>
          <w:lang w:val="ro-RO"/>
        </w:rPr>
        <w:t>ş</w:t>
      </w:r>
      <w:r w:rsidRPr="004075C8">
        <w:rPr>
          <w:rStyle w:val="Footnote0"/>
          <w:rFonts w:eastAsia="Arial Unicode MS"/>
          <w:lang w:val="ro-RO"/>
        </w:rPr>
        <w:t>i clien</w:t>
      </w:r>
      <w:r>
        <w:rPr>
          <w:rStyle w:val="Footnote0"/>
          <w:rFonts w:eastAsia="Arial Unicode MS"/>
          <w:lang w:val="ro-RO"/>
        </w:rPr>
        <w:t>ţ</w:t>
      </w:r>
      <w:r w:rsidRPr="004075C8">
        <w:rPr>
          <w:rStyle w:val="Footnote0"/>
          <w:rFonts w:eastAsia="Arial Unicode MS"/>
          <w:lang w:val="ro-RO"/>
        </w:rPr>
        <w:t xml:space="preserve">ii acestora, </w:t>
      </w:r>
      <w:r w:rsidRPr="004075C8">
        <w:rPr>
          <w:lang w:val="ro-RO"/>
        </w:rPr>
        <w:t>2015.</w:t>
      </w:r>
    </w:p>
  </w:footnote>
  <w:footnote w:id="2">
    <w:p w:rsidR="006660B9" w:rsidRDefault="006660B9" w:rsidP="00D71D7F">
      <w:pPr>
        <w:pStyle w:val="Footnote1"/>
        <w:shd w:val="clear" w:color="auto" w:fill="auto"/>
        <w:tabs>
          <w:tab w:val="left" w:pos="1273"/>
        </w:tabs>
        <w:spacing w:line="187" w:lineRule="exact"/>
        <w:ind w:left="360" w:hanging="360"/>
      </w:pPr>
      <w:r w:rsidRPr="004075C8">
        <w:rPr>
          <w:vertAlign w:val="superscript"/>
          <w:lang w:val="ro-RO"/>
        </w:rPr>
        <w:footnoteRef/>
      </w:r>
      <w:r w:rsidRPr="004075C8">
        <w:rPr>
          <w:lang w:val="ro-RO"/>
        </w:rPr>
        <w:tab/>
      </w:r>
      <w:hyperlink r:id="rId7" w:history="1">
        <w:r w:rsidRPr="004075C8">
          <w:rPr>
            <w:rStyle w:val="Footnote0"/>
            <w:rFonts w:eastAsia="Arial Unicode MS"/>
            <w:lang w:val="ro-RO"/>
          </w:rPr>
          <w:t>Rezolu</w:t>
        </w:r>
        <w:r>
          <w:rPr>
            <w:rStyle w:val="Footnote0"/>
            <w:rFonts w:eastAsia="Arial Unicode MS"/>
            <w:lang w:val="ro-RO"/>
          </w:rPr>
          <w:t>ţ</w:t>
        </w:r>
        <w:r w:rsidRPr="004075C8">
          <w:rPr>
            <w:rStyle w:val="Footnote0"/>
            <w:rFonts w:eastAsia="Arial Unicode MS"/>
            <w:lang w:val="ro-RO"/>
          </w:rPr>
          <w:t xml:space="preserve">ia </w:t>
        </w:r>
      </w:hyperlink>
      <w:r w:rsidRPr="004075C8">
        <w:rPr>
          <w:lang w:val="ro-RO"/>
        </w:rPr>
        <w:t xml:space="preserve">Parlamentului European </w:t>
      </w:r>
      <w:r w:rsidRPr="004075C8">
        <w:t>“</w:t>
      </w:r>
      <w:r w:rsidRPr="004075C8">
        <w:rPr>
          <w:lang w:val="ro-RO"/>
        </w:rPr>
        <w:t>Măsuri luate în urma rezolu</w:t>
      </w:r>
      <w:r>
        <w:rPr>
          <w:lang w:val="ro-RO"/>
        </w:rPr>
        <w:t>ţ</w:t>
      </w:r>
      <w:r w:rsidRPr="004075C8">
        <w:rPr>
          <w:lang w:val="ro-RO"/>
        </w:rPr>
        <w:t>iei Parlamentului European din 12 martie 2014 privind supravegherea electronică în masă a cetă</w:t>
      </w:r>
      <w:r>
        <w:rPr>
          <w:lang w:val="ro-RO"/>
        </w:rPr>
        <w:t>ţ</w:t>
      </w:r>
      <w:r w:rsidRPr="004075C8">
        <w:rPr>
          <w:lang w:val="ro-RO"/>
        </w:rPr>
        <w:t>enilor UE</w:t>
      </w:r>
      <w:r w:rsidRPr="004075C8">
        <w:t>”</w:t>
      </w:r>
      <w:r w:rsidRPr="004075C8">
        <w:rPr>
          <w:lang w:val="ro-RO"/>
        </w:rPr>
        <w:t>, 29 octombrie 2015.</w:t>
      </w:r>
    </w:p>
  </w:footnote>
  <w:footnote w:id="3">
    <w:p w:rsidR="006660B9" w:rsidRDefault="006660B9" w:rsidP="00D71D7F">
      <w:pPr>
        <w:pStyle w:val="Footnote1"/>
        <w:shd w:val="clear" w:color="auto" w:fill="auto"/>
        <w:tabs>
          <w:tab w:val="left" w:pos="360"/>
        </w:tabs>
        <w:spacing w:line="160" w:lineRule="exact"/>
        <w:ind w:firstLine="0"/>
      </w:pPr>
      <w:r w:rsidRPr="004075C8">
        <w:rPr>
          <w:vertAlign w:val="superscript"/>
          <w:lang w:val="ro-RO"/>
        </w:rPr>
        <w:footnoteRef/>
      </w:r>
      <w:r w:rsidRPr="004075C8">
        <w:rPr>
          <w:lang w:val="ro-RO"/>
        </w:rPr>
        <w:tab/>
        <w:t>Ibid. §43.</w:t>
      </w:r>
    </w:p>
  </w:footnote>
  <w:footnote w:id="4">
    <w:p w:rsidR="006660B9" w:rsidRDefault="006660B9" w:rsidP="00D71D7F">
      <w:pPr>
        <w:pStyle w:val="Footnote1"/>
        <w:shd w:val="clear" w:color="auto" w:fill="auto"/>
        <w:tabs>
          <w:tab w:val="left" w:pos="360"/>
        </w:tabs>
        <w:spacing w:line="160" w:lineRule="exact"/>
        <w:ind w:firstLine="0"/>
      </w:pPr>
      <w:r w:rsidRPr="004075C8">
        <w:rPr>
          <w:vertAlign w:val="superscript"/>
          <w:lang w:val="ro-RO"/>
        </w:rPr>
        <w:footnoteRef/>
      </w:r>
      <w:r w:rsidRPr="004075C8">
        <w:rPr>
          <w:lang w:val="ro-RO"/>
        </w:rPr>
        <w:tab/>
        <w:t>Adunarea Parlamentară a Consiliului Europei,</w:t>
      </w:r>
      <w:hyperlink r:id="rId8" w:history="1">
        <w:r w:rsidRPr="004075C8">
          <w:rPr>
            <w:lang w:val="ro-RO"/>
          </w:rPr>
          <w:t xml:space="preserve"> </w:t>
        </w:r>
        <w:r w:rsidRPr="004075C8">
          <w:rPr>
            <w:rStyle w:val="Footnote0"/>
            <w:rFonts w:eastAsia="Arial Unicode MS"/>
            <w:lang w:val="ro-RO"/>
          </w:rPr>
          <w:t>Rezolu</w:t>
        </w:r>
        <w:r>
          <w:rPr>
            <w:rStyle w:val="Footnote0"/>
            <w:rFonts w:eastAsia="Arial Unicode MS"/>
            <w:lang w:val="ro-RO"/>
          </w:rPr>
          <w:t>ţ</w:t>
        </w:r>
        <w:r w:rsidRPr="004075C8">
          <w:rPr>
            <w:rStyle w:val="Footnote0"/>
            <w:rFonts w:eastAsia="Arial Unicode MS"/>
            <w:lang w:val="ro-RO"/>
          </w:rPr>
          <w:t>ia 2045,</w:t>
        </w:r>
        <w:r w:rsidRPr="004075C8">
          <w:rPr>
            <w:lang w:val="ro-RO"/>
          </w:rPr>
          <w:t xml:space="preserve"> </w:t>
        </w:r>
      </w:hyperlink>
      <w:r w:rsidRPr="004075C8">
        <w:rPr>
          <w:lang w:val="ro-RO"/>
        </w:rPr>
        <w:t>21 aprilie 2015. §4.</w:t>
      </w:r>
    </w:p>
  </w:footnote>
  <w:footnote w:id="5">
    <w:p w:rsidR="006660B9" w:rsidRDefault="006660B9" w:rsidP="00D71D7F">
      <w:pPr>
        <w:pStyle w:val="Footnote1"/>
        <w:shd w:val="clear" w:color="auto" w:fill="auto"/>
        <w:tabs>
          <w:tab w:val="left" w:pos="1268"/>
        </w:tabs>
        <w:ind w:left="360" w:hanging="360"/>
      </w:pPr>
      <w:r w:rsidRPr="004075C8">
        <w:rPr>
          <w:vertAlign w:val="superscript"/>
          <w:lang w:val="ro-RO"/>
        </w:rPr>
        <w:footnoteRef/>
      </w:r>
      <w:r w:rsidRPr="004075C8">
        <w:rPr>
          <w:lang w:val="ro-RO"/>
        </w:rPr>
        <w:tab/>
        <w:t>Comisia de la Vene</w:t>
      </w:r>
      <w:r>
        <w:rPr>
          <w:lang w:val="ro-RO"/>
        </w:rPr>
        <w:t>ţ</w:t>
      </w:r>
      <w:r w:rsidRPr="004075C8">
        <w:rPr>
          <w:lang w:val="ro-RO"/>
        </w:rPr>
        <w:t>ia din cadrul Consiliului Europei, ‘</w:t>
      </w:r>
      <w:r w:rsidRPr="004075C8">
        <w:rPr>
          <w:rStyle w:val="Footnote0"/>
          <w:rFonts w:eastAsia="Arial Unicode MS"/>
          <w:lang w:val="ro-RO"/>
        </w:rPr>
        <w:t xml:space="preserve">Actualizarea Raportului din 2007 privind supravegherea democratică a serviciilor de securitate </w:t>
      </w:r>
      <w:r>
        <w:rPr>
          <w:rStyle w:val="Footnote0"/>
          <w:rFonts w:eastAsia="Arial Unicode MS"/>
          <w:lang w:val="ro-RO"/>
        </w:rPr>
        <w:t>ş</w:t>
      </w:r>
      <w:r w:rsidRPr="004075C8">
        <w:rPr>
          <w:rStyle w:val="Footnote0"/>
          <w:rFonts w:eastAsia="Arial Unicode MS"/>
          <w:lang w:val="ro-RO"/>
        </w:rPr>
        <w:t xml:space="preserve">i a Raportului privind supravegherea democratică a </w:t>
      </w:r>
      <w:hyperlink r:id="rId9" w:history="1">
        <w:r w:rsidRPr="004075C8">
          <w:rPr>
            <w:rStyle w:val="Footnote0"/>
            <w:rFonts w:eastAsia="Arial Unicode MS"/>
            <w:lang w:val="ro-RO"/>
          </w:rPr>
          <w:t>serviciilor de informa</w:t>
        </w:r>
        <w:r>
          <w:rPr>
            <w:rStyle w:val="Footnote0"/>
            <w:rFonts w:eastAsia="Arial Unicode MS"/>
            <w:lang w:val="ro-RO"/>
          </w:rPr>
          <w:t>ţ</w:t>
        </w:r>
        <w:r w:rsidRPr="004075C8">
          <w:rPr>
            <w:rStyle w:val="Footnote0"/>
            <w:rFonts w:eastAsia="Arial Unicode MS"/>
            <w:lang w:val="ro-RO"/>
          </w:rPr>
          <w:t>ii care folosesc interceptarea semnalelor ',</w:t>
        </w:r>
        <w:r w:rsidRPr="004075C8">
          <w:rPr>
            <w:lang w:val="ro-RO"/>
          </w:rPr>
          <w:t xml:space="preserve"> </w:t>
        </w:r>
      </w:hyperlink>
      <w:r w:rsidRPr="004075C8">
        <w:rPr>
          <w:lang w:val="ro-RO"/>
        </w:rPr>
        <w:t xml:space="preserve">2015, §18 </w:t>
      </w:r>
      <w:r>
        <w:rPr>
          <w:lang w:val="ro-RO"/>
        </w:rPr>
        <w:t>ş</w:t>
      </w:r>
      <w:r w:rsidRPr="004075C8">
        <w:rPr>
          <w:lang w:val="ro-RO"/>
        </w:rPr>
        <w:t>i 106.</w:t>
      </w:r>
    </w:p>
  </w:footnote>
  <w:footnote w:id="6">
    <w:p w:rsidR="006660B9" w:rsidRDefault="006660B9" w:rsidP="00D71D7F">
      <w:pPr>
        <w:pStyle w:val="Footnote1"/>
        <w:shd w:val="clear" w:color="auto" w:fill="auto"/>
        <w:tabs>
          <w:tab w:val="left" w:pos="1268"/>
        </w:tabs>
        <w:spacing w:line="187" w:lineRule="exact"/>
        <w:ind w:left="360" w:hanging="360"/>
      </w:pPr>
      <w:r w:rsidRPr="004075C8">
        <w:rPr>
          <w:vertAlign w:val="superscript"/>
          <w:lang w:val="ro-RO"/>
        </w:rPr>
        <w:footnoteRef/>
      </w:r>
      <w:r w:rsidRPr="004075C8">
        <w:rPr>
          <w:lang w:val="ro-RO"/>
        </w:rPr>
        <w:tab/>
        <w:t>Comisarul pentru drepturile omului al Consiliului Europei,</w:t>
      </w:r>
      <w:hyperlink r:id="rId10" w:history="1">
        <w:r w:rsidRPr="004075C8">
          <w:rPr>
            <w:lang w:val="ro-RO"/>
          </w:rPr>
          <w:t xml:space="preserve"> ‘</w:t>
        </w:r>
        <w:r w:rsidRPr="004075C8">
          <w:rPr>
            <w:rStyle w:val="Footnote0"/>
            <w:rFonts w:eastAsia="Arial Unicode MS"/>
            <w:lang w:val="ro-RO"/>
          </w:rPr>
          <w:t xml:space="preserve">Supravegherea democratică </w:t>
        </w:r>
        <w:r>
          <w:rPr>
            <w:rStyle w:val="Footnote0"/>
            <w:rFonts w:eastAsia="Arial Unicode MS"/>
            <w:lang w:val="ro-RO"/>
          </w:rPr>
          <w:t>ş</w:t>
        </w:r>
        <w:r w:rsidRPr="004075C8">
          <w:rPr>
            <w:rStyle w:val="Footnote0"/>
            <w:rFonts w:eastAsia="Arial Unicode MS"/>
            <w:lang w:val="ro-RO"/>
          </w:rPr>
          <w:t>i eficientă a serviciilor na</w:t>
        </w:r>
        <w:r>
          <w:rPr>
            <w:rStyle w:val="Footnote0"/>
            <w:rFonts w:eastAsia="Arial Unicode MS"/>
            <w:lang w:val="ro-RO"/>
          </w:rPr>
          <w:t>ţ</w:t>
        </w:r>
        <w:r w:rsidRPr="004075C8">
          <w:rPr>
            <w:rStyle w:val="Footnote0"/>
            <w:rFonts w:eastAsia="Arial Unicode MS"/>
            <w:lang w:val="ro-RO"/>
          </w:rPr>
          <w:t>ionale de securitate',</w:t>
        </w:r>
        <w:r w:rsidRPr="004075C8">
          <w:rPr>
            <w:lang w:val="ro-RO"/>
          </w:rPr>
          <w:t xml:space="preserve"> </w:t>
        </w:r>
      </w:hyperlink>
      <w:r w:rsidRPr="004075C8">
        <w:rPr>
          <w:lang w:val="ro-RO"/>
        </w:rPr>
        <w:t>document de discu</w:t>
      </w:r>
      <w:r>
        <w:rPr>
          <w:lang w:val="ro-RO"/>
        </w:rPr>
        <w:t>ţ</w:t>
      </w:r>
      <w:r w:rsidRPr="004075C8">
        <w:rPr>
          <w:lang w:val="ro-RO"/>
        </w:rPr>
        <w:t>ie, Consiliul Europei, 2015, 27.</w:t>
      </w:r>
    </w:p>
  </w:footnote>
  <w:footnote w:id="7">
    <w:p w:rsidR="006660B9" w:rsidRDefault="006660B9" w:rsidP="00D71D7F">
      <w:pPr>
        <w:pStyle w:val="Footnote1"/>
        <w:shd w:val="clear" w:color="auto" w:fill="auto"/>
        <w:tabs>
          <w:tab w:val="left" w:pos="1273"/>
        </w:tabs>
        <w:ind w:left="360" w:hanging="360"/>
      </w:pPr>
      <w:r w:rsidRPr="004075C8">
        <w:rPr>
          <w:vertAlign w:val="superscript"/>
          <w:lang w:val="ro-RO"/>
        </w:rPr>
        <w:footnoteRef/>
      </w:r>
      <w:r w:rsidRPr="004075C8">
        <w:rPr>
          <w:lang w:val="ro-RO"/>
        </w:rPr>
        <w:tab/>
        <w:t>În Fran</w:t>
      </w:r>
      <w:r>
        <w:rPr>
          <w:lang w:val="ro-RO"/>
        </w:rPr>
        <w:t>ţ</w:t>
      </w:r>
      <w:r w:rsidRPr="004075C8">
        <w:rPr>
          <w:lang w:val="ro-RO"/>
        </w:rPr>
        <w:t>a, de exemplu, legea recent adoptată privind informa</w:t>
      </w:r>
      <w:r>
        <w:rPr>
          <w:lang w:val="ro-RO"/>
        </w:rPr>
        <w:t>ţ</w:t>
      </w:r>
      <w:r w:rsidRPr="004075C8">
        <w:rPr>
          <w:lang w:val="ro-RO"/>
        </w:rPr>
        <w:t xml:space="preserve">iile </w:t>
      </w:r>
      <w:r w:rsidRPr="004075C8">
        <w:rPr>
          <w:i/>
          <w:lang w:val="ro-RO"/>
        </w:rPr>
        <w:t>(</w:t>
      </w:r>
      <w:r w:rsidRPr="004075C8">
        <w:rPr>
          <w:rStyle w:val="FootnoteItalic"/>
          <w:rFonts w:eastAsia="Arial Unicode MS"/>
          <w:lang w:val="ro-RO"/>
        </w:rPr>
        <w:t>loi sur le renseignement)</w:t>
      </w:r>
      <w:r w:rsidRPr="004075C8">
        <w:rPr>
          <w:lang w:val="ro-RO"/>
        </w:rPr>
        <w:t xml:space="preserve"> ar permite agenţiilor de informaţii să folosească tehnici de spionaj mai ample ca niciodată şi să aibă acces la metadatele privind toate comunicările (inclusiv cele între avocaţi şi clienţii acestora). În Olanda– în urma unei plângeri împotriva statului olandez depuse în iunie 2015 de către o firmă de avocatură cu sprijinul CCBE – instanţa a solicitat guvernului să stopeze orice supraveghere a comunicărilor avocaţilor până în momentul în care poate să pună la dispoziţie garanţii suficiente, inclusiv supraveghere independentă, ambele măsuri fiind considerate insuficiente. În Polonia, Parlamentul a adoptat recent modificări ale Legii privind institu</w:t>
      </w:r>
      <w:r>
        <w:rPr>
          <w:lang w:val="ro-RO"/>
        </w:rPr>
        <w:t>ţ</w:t>
      </w:r>
      <w:r w:rsidRPr="004075C8">
        <w:rPr>
          <w:lang w:val="ro-RO"/>
        </w:rPr>
        <w:t>ia poli</w:t>
      </w:r>
      <w:r>
        <w:rPr>
          <w:lang w:val="ro-RO"/>
        </w:rPr>
        <w:t>ţ</w:t>
      </w:r>
      <w:r w:rsidRPr="004075C8">
        <w:rPr>
          <w:lang w:val="ro-RO"/>
        </w:rPr>
        <w:t xml:space="preserve">iei </w:t>
      </w:r>
      <w:r>
        <w:rPr>
          <w:lang w:val="ro-RO"/>
        </w:rPr>
        <w:t>ş</w:t>
      </w:r>
      <w:r w:rsidRPr="004075C8">
        <w:rPr>
          <w:lang w:val="ro-RO"/>
        </w:rPr>
        <w:t xml:space="preserve">i ale altor legi privind serviciile secrete de stat, în special în legătură cu reglementarea supravegherii datelor şi păstrării datelor. Aceste modificări au intrat în vigoare la data de 7 februarie 2016 </w:t>
      </w:r>
      <w:r>
        <w:rPr>
          <w:lang w:val="ro-RO"/>
        </w:rPr>
        <w:t>ş</w:t>
      </w:r>
      <w:r w:rsidRPr="004075C8">
        <w:rPr>
          <w:lang w:val="ro-RO"/>
        </w:rPr>
        <w:t>i cuprind dispoziţii ce prevăd accesul fără rezerve la informaţiile protejate prin secret profesional. În sfârşit, prima formă a proiectului de lege privind competen</w:t>
      </w:r>
      <w:r>
        <w:rPr>
          <w:lang w:val="ro-RO"/>
        </w:rPr>
        <w:t>ţ</w:t>
      </w:r>
      <w:r w:rsidRPr="004075C8">
        <w:rPr>
          <w:lang w:val="ro-RO"/>
        </w:rPr>
        <w:t>ele de investigare din Marea Britanie a fost denunţat ca reprezentând o ameninţare la adresa secretului profesional de către Barourile şi Societăţile de avocatură din Marea Britanie, deoarece ar acorda acces larg la informaţiile confidenţiale privind clientul, fără a oferi o protecţie legală privilegiului profesiei juridice, limitându-se la un „cod de practică” fără valoare de lege. Versiunile ulterioare, care includ măsuri de protec</w:t>
      </w:r>
      <w:r>
        <w:rPr>
          <w:lang w:val="ro-RO"/>
        </w:rPr>
        <w:t>ţ</w:t>
      </w:r>
      <w:r w:rsidRPr="004075C8">
        <w:rPr>
          <w:lang w:val="ro-RO"/>
        </w:rPr>
        <w:t>ie în textul legii, au fost criticate pentru că nu oferă un nivel adecvat de protec</w:t>
      </w:r>
      <w:r>
        <w:rPr>
          <w:lang w:val="ro-RO"/>
        </w:rPr>
        <w:t>ţ</w:t>
      </w:r>
      <w:r w:rsidRPr="004075C8">
        <w:rPr>
          <w:lang w:val="ro-RO"/>
        </w:rPr>
        <w:t xml:space="preserve">ie.  </w:t>
      </w:r>
    </w:p>
  </w:footnote>
  <w:footnote w:id="8">
    <w:p w:rsidR="006660B9" w:rsidRDefault="006660B9" w:rsidP="00D71D7F">
      <w:pPr>
        <w:pStyle w:val="Footnote21"/>
        <w:shd w:val="clear" w:color="auto" w:fill="auto"/>
        <w:tabs>
          <w:tab w:val="left" w:pos="1273"/>
        </w:tabs>
        <w:ind w:left="360" w:hanging="36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CEDO,</w:t>
      </w:r>
      <w:hyperlink r:id="rId11" w:history="1">
        <w:r w:rsidRPr="004075C8">
          <w:rPr>
            <w:rStyle w:val="Footnote2NotItalic"/>
            <w:rFonts w:eastAsia="Arial Unicode MS"/>
            <w:lang w:val="ro-RO"/>
          </w:rPr>
          <w:t xml:space="preserve"> </w:t>
        </w:r>
        <w:r w:rsidRPr="004075C8">
          <w:rPr>
            <w:rStyle w:val="Footnote20"/>
            <w:rFonts w:eastAsia="Arial Unicode MS"/>
            <w:i/>
            <w:iCs/>
            <w:lang w:val="ro-RO"/>
          </w:rPr>
          <w:t>Andre împotriva Fran</w:t>
        </w:r>
        <w:r>
          <w:rPr>
            <w:rStyle w:val="Footnote20"/>
            <w:rFonts w:eastAsia="Arial Unicode MS"/>
            <w:i/>
            <w:iCs/>
            <w:lang w:val="ro-RO"/>
          </w:rPr>
          <w:t>ţ</w:t>
        </w:r>
        <w:r w:rsidRPr="004075C8">
          <w:rPr>
            <w:rStyle w:val="Footnote20"/>
            <w:rFonts w:eastAsia="Arial Unicode MS"/>
            <w:i/>
            <w:iCs/>
            <w:lang w:val="ro-RO"/>
          </w:rPr>
          <w:t>ei</w:t>
        </w:r>
        <w:r w:rsidRPr="004075C8">
          <w:rPr>
            <w:rStyle w:val="Footnote2NotItalic2"/>
            <w:rFonts w:eastAsia="Arial Unicode MS"/>
            <w:lang w:val="ro-RO"/>
          </w:rPr>
          <w:t xml:space="preserve"> </w:t>
        </w:r>
      </w:hyperlink>
      <w:r w:rsidRPr="004075C8">
        <w:rPr>
          <w:rStyle w:val="Footnote2NotItalic"/>
          <w:rFonts w:eastAsia="Arial Unicode MS"/>
          <w:lang w:val="ro-RO"/>
        </w:rPr>
        <w:t>(18603/03), 2008, §41: “</w:t>
      </w:r>
      <w:r w:rsidRPr="004075C8">
        <w:rPr>
          <w:lang w:val="ro-RO"/>
        </w:rPr>
        <w:t>secretul profesional [...] este baza rela</w:t>
      </w:r>
      <w:r>
        <w:rPr>
          <w:lang w:val="ro-RO"/>
        </w:rPr>
        <w:t>ţ</w:t>
      </w:r>
      <w:r w:rsidRPr="004075C8">
        <w:rPr>
          <w:lang w:val="ro-RO"/>
        </w:rPr>
        <w:t xml:space="preserve">iei de încredere dintre un avocat </w:t>
      </w:r>
      <w:r>
        <w:rPr>
          <w:lang w:val="ro-RO"/>
        </w:rPr>
        <w:t>ş</w:t>
      </w:r>
      <w:r w:rsidRPr="004075C8">
        <w:rPr>
          <w:lang w:val="ro-RO"/>
        </w:rPr>
        <w:t>i clientul acestuia."</w:t>
      </w:r>
    </w:p>
  </w:footnote>
  <w:footnote w:id="9">
    <w:p w:rsidR="006660B9" w:rsidRDefault="006660B9" w:rsidP="00D71D7F">
      <w:pPr>
        <w:pStyle w:val="Footnote1"/>
        <w:shd w:val="clear" w:color="auto" w:fill="auto"/>
        <w:tabs>
          <w:tab w:val="left" w:pos="426"/>
        </w:tabs>
        <w:ind w:left="426" w:hanging="426"/>
      </w:pPr>
      <w:r w:rsidRPr="004075C8">
        <w:rPr>
          <w:vertAlign w:val="superscript"/>
          <w:lang w:val="ro-RO"/>
        </w:rPr>
        <w:footnoteRef/>
      </w:r>
      <w:r w:rsidRPr="004075C8">
        <w:rPr>
          <w:lang w:val="ro-RO"/>
        </w:rPr>
        <w:tab/>
        <w:t>O discu</w:t>
      </w:r>
      <w:r>
        <w:rPr>
          <w:lang w:val="ro-RO"/>
        </w:rPr>
        <w:t>ţ</w:t>
      </w:r>
      <w:r w:rsidRPr="004075C8">
        <w:rPr>
          <w:lang w:val="ro-RO"/>
        </w:rPr>
        <w:t>ie completă se găse</w:t>
      </w:r>
      <w:r>
        <w:rPr>
          <w:lang w:val="ro-RO"/>
        </w:rPr>
        <w:t>ş</w:t>
      </w:r>
      <w:r w:rsidRPr="004075C8">
        <w:rPr>
          <w:lang w:val="ro-RO"/>
        </w:rPr>
        <w:t>te în următoarele rapoarte:</w:t>
      </w:r>
      <w:hyperlink r:id="rId12" w:history="1">
        <w:r w:rsidRPr="004075C8">
          <w:rPr>
            <w:lang w:val="ro-RO"/>
          </w:rPr>
          <w:t xml:space="preserve"> '</w:t>
        </w:r>
        <w:r w:rsidRPr="004075C8">
          <w:rPr>
            <w:rStyle w:val="Footnote0"/>
            <w:rFonts w:eastAsia="Arial Unicode MS"/>
            <w:lang w:val="ro-RO"/>
          </w:rPr>
          <w:t>Raport privind secretul profesional, c</w:t>
        </w:r>
        <w:r>
          <w:rPr>
            <w:rStyle w:val="Footnote0"/>
            <w:rFonts w:eastAsia="Arial Unicode MS"/>
            <w:lang w:val="ro-RO"/>
          </w:rPr>
          <w:t>onfi</w:t>
        </w:r>
        <w:r w:rsidRPr="004075C8">
          <w:rPr>
            <w:rStyle w:val="Footnote0"/>
            <w:rFonts w:eastAsia="Arial Unicode MS"/>
            <w:lang w:val="ro-RO"/>
          </w:rPr>
          <w:t>den</w:t>
        </w:r>
        <w:r>
          <w:rPr>
            <w:rStyle w:val="Footnote0"/>
            <w:rFonts w:eastAsia="Arial Unicode MS"/>
            <w:lang w:val="ro-RO"/>
          </w:rPr>
          <w:t>ţ</w:t>
        </w:r>
        <w:r w:rsidRPr="004075C8">
          <w:rPr>
            <w:rStyle w:val="Footnote0"/>
            <w:rFonts w:eastAsia="Arial Unicode MS"/>
            <w:lang w:val="ro-RO"/>
          </w:rPr>
          <w:t xml:space="preserve">ialitatea </w:t>
        </w:r>
        <w:r>
          <w:rPr>
            <w:rStyle w:val="Footnote0"/>
            <w:rFonts w:eastAsia="Arial Unicode MS"/>
            <w:lang w:val="ro-RO"/>
          </w:rPr>
          <w:t>ş</w:t>
        </w:r>
        <w:r w:rsidRPr="004075C8">
          <w:rPr>
            <w:rStyle w:val="Footnote0"/>
            <w:rFonts w:eastAsia="Arial Unicode MS"/>
            <w:lang w:val="ro-RO"/>
          </w:rPr>
          <w:t>i privilegiul profesiei juridice în cele nouă state membre ale Comunită</w:t>
        </w:r>
        <w:r>
          <w:rPr>
            <w:rStyle w:val="Footnote0"/>
            <w:rFonts w:eastAsia="Arial Unicode MS"/>
            <w:lang w:val="ro-RO"/>
          </w:rPr>
          <w:t>ţ</w:t>
        </w:r>
        <w:r w:rsidRPr="004075C8">
          <w:rPr>
            <w:rStyle w:val="Footnote0"/>
            <w:rFonts w:eastAsia="Arial Unicode MS"/>
            <w:lang w:val="ro-RO"/>
          </w:rPr>
          <w:t>ii Europene</w:t>
        </w:r>
      </w:hyperlink>
      <w:hyperlink r:id="rId13" w:history="1">
        <w:r w:rsidRPr="004075C8">
          <w:rPr>
            <w:rStyle w:val="Footnote0"/>
            <w:rFonts w:eastAsia="Arial Unicode MS"/>
            <w:lang w:val="ro-RO"/>
          </w:rPr>
          <w:t>’</w:t>
        </w:r>
        <w:r w:rsidRPr="004075C8">
          <w:rPr>
            <w:lang w:val="ro-RO"/>
          </w:rPr>
          <w:t xml:space="preserve">, </w:t>
        </w:r>
      </w:hyperlink>
      <w:r w:rsidRPr="004075C8">
        <w:rPr>
          <w:lang w:val="ro-RO"/>
        </w:rPr>
        <w:t>CCBE, D.A.O. Edward, Q.C., 1976; '</w:t>
      </w:r>
      <w:r w:rsidRPr="004075C8">
        <w:rPr>
          <w:rStyle w:val="Footnote0"/>
          <w:rFonts w:eastAsia="Arial Unicode MS"/>
          <w:lang w:val="ro-RO"/>
        </w:rPr>
        <w:t xml:space="preserve">Actualizarea raportului </w:t>
      </w:r>
      <w:hyperlink r:id="rId14" w:history="1">
        <w:r w:rsidRPr="004075C8">
          <w:rPr>
            <w:rStyle w:val="Footnote0"/>
            <w:rFonts w:eastAsia="Arial Unicode MS"/>
            <w:lang w:val="ro-RO"/>
          </w:rPr>
          <w:t>Edward privind secretul profesional, confiden</w:t>
        </w:r>
        <w:r>
          <w:rPr>
            <w:rStyle w:val="Footnote0"/>
            <w:rFonts w:eastAsia="Arial Unicode MS"/>
            <w:lang w:val="ro-RO"/>
          </w:rPr>
          <w:t>ţ</w:t>
        </w:r>
        <w:r w:rsidRPr="004075C8">
          <w:rPr>
            <w:rStyle w:val="Footnote0"/>
            <w:rFonts w:eastAsia="Arial Unicode MS"/>
            <w:lang w:val="ro-RO"/>
          </w:rPr>
          <w:t xml:space="preserve">ialitatea </w:t>
        </w:r>
        <w:r>
          <w:rPr>
            <w:rStyle w:val="Footnote0"/>
            <w:rFonts w:eastAsia="Arial Unicode MS"/>
            <w:lang w:val="ro-RO"/>
          </w:rPr>
          <w:t>ş</w:t>
        </w:r>
        <w:r w:rsidRPr="004075C8">
          <w:rPr>
            <w:rStyle w:val="Footnote0"/>
            <w:rFonts w:eastAsia="Arial Unicode MS"/>
            <w:lang w:val="ro-RO"/>
          </w:rPr>
          <w:t>i privilegiul profesiei juridice în Europa</w:t>
        </w:r>
        <w:r w:rsidRPr="004075C8">
          <w:rPr>
            <w:lang w:val="ro-RO"/>
          </w:rPr>
          <w:t>’</w:t>
        </w:r>
      </w:hyperlink>
      <w:r w:rsidRPr="004075C8">
        <w:rPr>
          <w:lang w:val="ro-RO"/>
        </w:rPr>
        <w:t>, CCBE, 2003; '</w:t>
      </w:r>
      <w:r w:rsidRPr="004075C8">
        <w:rPr>
          <w:rStyle w:val="Footnote0"/>
          <w:rFonts w:eastAsia="Arial Unicode MS"/>
          <w:lang w:val="ro-RO"/>
        </w:rPr>
        <w:t>Profesioni</w:t>
      </w:r>
      <w:r>
        <w:rPr>
          <w:rStyle w:val="Footnote0"/>
          <w:rFonts w:eastAsia="Arial Unicode MS"/>
          <w:lang w:val="ro-RO"/>
        </w:rPr>
        <w:t>ş</w:t>
      </w:r>
      <w:r w:rsidRPr="004075C8">
        <w:rPr>
          <w:rStyle w:val="Footnote0"/>
          <w:rFonts w:eastAsia="Arial Unicode MS"/>
          <w:lang w:val="ro-RO"/>
        </w:rPr>
        <w:t>tii din domeniul juridic reglementa</w:t>
      </w:r>
      <w:r>
        <w:rPr>
          <w:rStyle w:val="Footnote0"/>
          <w:rFonts w:eastAsia="Arial Unicode MS"/>
          <w:lang w:val="ro-RO"/>
        </w:rPr>
        <w:t>ţ</w:t>
      </w:r>
      <w:r w:rsidRPr="004075C8">
        <w:rPr>
          <w:rStyle w:val="Footnote0"/>
          <w:rFonts w:eastAsia="Arial Unicode MS"/>
          <w:lang w:val="ro-RO"/>
        </w:rPr>
        <w:t xml:space="preserve">i </w:t>
      </w:r>
      <w:r>
        <w:rPr>
          <w:rStyle w:val="Footnote0"/>
          <w:rFonts w:eastAsia="Arial Unicode MS"/>
          <w:lang w:val="ro-RO"/>
        </w:rPr>
        <w:t>ş</w:t>
      </w:r>
      <w:r w:rsidRPr="004075C8">
        <w:rPr>
          <w:rStyle w:val="Footnote0"/>
          <w:rFonts w:eastAsia="Arial Unicode MS"/>
          <w:lang w:val="ro-RO"/>
        </w:rPr>
        <w:t>i privilegiul profesional în Uniunea Europeană, Spa</w:t>
      </w:r>
      <w:r>
        <w:rPr>
          <w:rStyle w:val="Footnote0"/>
          <w:rFonts w:eastAsia="Arial Unicode MS"/>
          <w:lang w:val="ro-RO"/>
        </w:rPr>
        <w:t>ţ</w:t>
      </w:r>
      <w:r w:rsidRPr="004075C8">
        <w:rPr>
          <w:rStyle w:val="Footnote0"/>
          <w:rFonts w:eastAsia="Arial Unicode MS"/>
          <w:lang w:val="ro-RO"/>
        </w:rPr>
        <w:t xml:space="preserve">iul Economic European </w:t>
      </w:r>
      <w:r>
        <w:rPr>
          <w:rStyle w:val="Footnote0"/>
          <w:rFonts w:eastAsia="Arial Unicode MS"/>
          <w:lang w:val="ro-RO"/>
        </w:rPr>
        <w:t>ş</w:t>
      </w:r>
      <w:r w:rsidRPr="004075C8">
        <w:rPr>
          <w:rStyle w:val="Footnote0"/>
          <w:rFonts w:eastAsia="Arial Unicode MS"/>
          <w:lang w:val="ro-RO"/>
        </w:rPr>
        <w:t>i Elve</w:t>
      </w:r>
      <w:r>
        <w:rPr>
          <w:rStyle w:val="Footnote0"/>
          <w:rFonts w:eastAsia="Arial Unicode MS"/>
          <w:lang w:val="ro-RO"/>
        </w:rPr>
        <w:t>ţ</w:t>
      </w:r>
      <w:r w:rsidRPr="004075C8">
        <w:rPr>
          <w:rStyle w:val="Footnote0"/>
          <w:rFonts w:eastAsia="Arial Unicode MS"/>
          <w:lang w:val="ro-RO"/>
        </w:rPr>
        <w:t>ia în alte jurisdic</w:t>
      </w:r>
      <w:r>
        <w:rPr>
          <w:rStyle w:val="Footnote0"/>
          <w:rFonts w:eastAsia="Arial Unicode MS"/>
          <w:lang w:val="ro-RO"/>
        </w:rPr>
        <w:t>ţ</w:t>
      </w:r>
      <w:r w:rsidRPr="004075C8">
        <w:rPr>
          <w:rStyle w:val="Footnote0"/>
          <w:rFonts w:eastAsia="Arial Unicode MS"/>
          <w:lang w:val="ro-RO"/>
        </w:rPr>
        <w:t>ii europene</w:t>
      </w:r>
      <w:hyperlink r:id="rId15" w:history="1">
        <w:r w:rsidRPr="004075C8">
          <w:rPr>
            <w:lang w:val="ro-RO"/>
          </w:rPr>
          <w:t>’</w:t>
        </w:r>
      </w:hyperlink>
      <w:r w:rsidRPr="004075C8">
        <w:rPr>
          <w:lang w:val="ro-RO"/>
        </w:rPr>
        <w:t xml:space="preserve">, CCBE, John Fish, 2004; </w:t>
      </w:r>
      <w:r w:rsidRPr="004075C8">
        <w:rPr>
          <w:rStyle w:val="FootnoteItalic"/>
          <w:rFonts w:eastAsia="Arial Unicode MS"/>
          <w:lang w:val="ro-RO"/>
        </w:rPr>
        <w:t xml:space="preserve">Privilegiul profesiei juridice </w:t>
      </w:r>
      <w:r>
        <w:rPr>
          <w:rStyle w:val="FootnoteItalic"/>
          <w:rFonts w:eastAsia="Arial Unicode MS"/>
          <w:lang w:val="ro-RO"/>
        </w:rPr>
        <w:t>ş</w:t>
      </w:r>
      <w:r w:rsidRPr="004075C8">
        <w:rPr>
          <w:rStyle w:val="FootnoteItalic"/>
          <w:rFonts w:eastAsia="Arial Unicode MS"/>
          <w:lang w:val="ro-RO"/>
        </w:rPr>
        <w:t>i jurispruden</w:t>
      </w:r>
      <w:r>
        <w:rPr>
          <w:rStyle w:val="FootnoteItalic"/>
          <w:rFonts w:eastAsia="Arial Unicode MS"/>
          <w:lang w:val="ro-RO"/>
        </w:rPr>
        <w:t>ţ</w:t>
      </w:r>
      <w:r w:rsidRPr="004075C8">
        <w:rPr>
          <w:rStyle w:val="FootnoteItalic"/>
          <w:rFonts w:eastAsia="Arial Unicode MS"/>
          <w:lang w:val="ro-RO"/>
        </w:rPr>
        <w:t>a europeană,</w:t>
      </w:r>
      <w:r w:rsidRPr="004075C8">
        <w:rPr>
          <w:lang w:val="ro-RO"/>
        </w:rPr>
        <w:t xml:space="preserve"> CCBE, Georges-Albert Dal (editor), 2010.</w:t>
      </w:r>
    </w:p>
  </w:footnote>
  <w:footnote w:id="10">
    <w:p w:rsidR="006660B9" w:rsidRDefault="006660B9" w:rsidP="00D71D7F">
      <w:pPr>
        <w:pStyle w:val="Footnote1"/>
        <w:shd w:val="clear" w:color="auto" w:fill="auto"/>
        <w:tabs>
          <w:tab w:val="left" w:pos="426"/>
        </w:tabs>
        <w:ind w:left="360" w:hanging="360"/>
      </w:pPr>
      <w:r w:rsidRPr="004075C8">
        <w:rPr>
          <w:vertAlign w:val="superscript"/>
          <w:lang w:val="ro-RO"/>
        </w:rPr>
        <w:footnoteRef/>
      </w:r>
      <w:r w:rsidRPr="004075C8">
        <w:rPr>
          <w:lang w:val="ro-RO"/>
        </w:rPr>
        <w:tab/>
        <w:t xml:space="preserve">CEDO, </w:t>
      </w:r>
      <w:r>
        <w:rPr>
          <w:rStyle w:val="Footnote0"/>
          <w:rFonts w:eastAsia="Arial Unicode MS"/>
          <w:lang w:val="ro-RO"/>
        </w:rPr>
        <w:t xml:space="preserve">S. împotriva </w:t>
      </w:r>
      <w:r w:rsidRPr="004075C8">
        <w:rPr>
          <w:rStyle w:val="FootnoteItalic1"/>
          <w:rFonts w:eastAsia="Arial Unicode MS"/>
          <w:lang w:val="ro-RO"/>
        </w:rPr>
        <w:t>Elve</w:t>
      </w:r>
      <w:r>
        <w:rPr>
          <w:rStyle w:val="FootnoteItalic1"/>
          <w:rFonts w:eastAsia="Arial Unicode MS"/>
          <w:lang w:val="ro-RO"/>
        </w:rPr>
        <w:t>ţie</w:t>
      </w:r>
      <w:r w:rsidRPr="004075C8">
        <w:rPr>
          <w:rStyle w:val="FootnoteItalic1"/>
          <w:rFonts w:eastAsia="Arial Unicode MS"/>
          <w:lang w:val="ro-RO"/>
        </w:rPr>
        <w:t>i</w:t>
      </w:r>
      <w:r w:rsidRPr="004075C8">
        <w:rPr>
          <w:lang w:val="ro-RO"/>
        </w:rPr>
        <w:t xml:space="preserve"> (12629/87), 1991, §48. A se vedea, de asemenea, CEDO,</w:t>
      </w:r>
      <w:hyperlink r:id="rId16" w:history="1">
        <w:r w:rsidRPr="004075C8">
          <w:rPr>
            <w:lang w:val="ro-RO"/>
          </w:rPr>
          <w:t xml:space="preserve"> </w:t>
        </w:r>
        <w:r w:rsidRPr="004075C8">
          <w:rPr>
            <w:rStyle w:val="FootnoteItalic1"/>
            <w:rFonts w:eastAsia="Arial Unicode MS"/>
            <w:lang w:val="ro-RO"/>
          </w:rPr>
          <w:t>Domenichini</w:t>
        </w:r>
        <w:r>
          <w:rPr>
            <w:rStyle w:val="FootnoteItalic1"/>
            <w:rFonts w:eastAsia="Arial Unicode MS"/>
            <w:lang w:val="ro-RO"/>
          </w:rPr>
          <w:t xml:space="preserve"> împotriva </w:t>
        </w:r>
        <w:r w:rsidRPr="004075C8">
          <w:rPr>
            <w:rStyle w:val="FootnoteItalic1"/>
            <w:rFonts w:eastAsia="Arial Unicode MS"/>
            <w:lang w:val="ro-RO"/>
          </w:rPr>
          <w:t>Itali</w:t>
        </w:r>
        <w:r>
          <w:rPr>
            <w:rStyle w:val="FootnoteItalic1"/>
            <w:rFonts w:eastAsia="Arial Unicode MS"/>
            <w:lang w:val="ro-RO"/>
          </w:rPr>
          <w:t>ei</w:t>
        </w:r>
        <w:r w:rsidRPr="004075C8">
          <w:rPr>
            <w:rStyle w:val="Footnote22"/>
            <w:rFonts w:eastAsia="Arial Unicode MS"/>
            <w:lang w:val="ro-RO"/>
          </w:rPr>
          <w:t xml:space="preserve"> </w:t>
        </w:r>
      </w:hyperlink>
      <w:r w:rsidRPr="004075C8">
        <w:rPr>
          <w:lang w:val="ro-RO"/>
        </w:rPr>
        <w:t>(15943/90), 1996, §39; CEDO,</w:t>
      </w:r>
      <w:hyperlink r:id="rId17" w:history="1">
        <w:r w:rsidRPr="004075C8">
          <w:rPr>
            <w:lang w:val="ro-RO"/>
          </w:rPr>
          <w:t xml:space="preserve"> </w:t>
        </w:r>
        <w:r w:rsidRPr="004075C8">
          <w:rPr>
            <w:rStyle w:val="FootnoteItalic1"/>
            <w:rFonts w:eastAsia="Arial Unicode MS"/>
            <w:lang w:val="ro-RO"/>
          </w:rPr>
          <w:t>Öcalan</w:t>
        </w:r>
      </w:hyperlink>
      <w:hyperlink r:id="rId18" w:history="1">
        <w:r>
          <w:rPr>
            <w:rStyle w:val="FootnoteItalic1"/>
            <w:rFonts w:eastAsia="Arial Unicode MS"/>
            <w:lang w:val="ro-RO"/>
          </w:rPr>
          <w:t xml:space="preserve"> împotriva </w:t>
        </w:r>
        <w:r w:rsidRPr="004075C8">
          <w:rPr>
            <w:rStyle w:val="FootnoteItalic1"/>
            <w:rFonts w:eastAsia="Arial Unicode MS"/>
            <w:lang w:val="ro-RO"/>
          </w:rPr>
          <w:t>Turc</w:t>
        </w:r>
        <w:r>
          <w:rPr>
            <w:rStyle w:val="FootnoteItalic1"/>
            <w:rFonts w:eastAsia="Arial Unicode MS"/>
            <w:lang w:val="ro-RO"/>
          </w:rPr>
          <w:t>ie</w:t>
        </w:r>
        <w:r w:rsidRPr="004075C8">
          <w:rPr>
            <w:rStyle w:val="FootnoteItalic1"/>
            <w:rFonts w:eastAsia="Arial Unicode MS"/>
            <w:lang w:val="ro-RO"/>
          </w:rPr>
          <w:t>i</w:t>
        </w:r>
      </w:hyperlink>
      <w:r w:rsidRPr="004075C8">
        <w:rPr>
          <w:lang w:val="ro-RO"/>
        </w:rPr>
        <w:t xml:space="preserve"> (46221/99), 2005, §1333; CEDO,</w:t>
      </w:r>
      <w:hyperlink r:id="rId19" w:history="1">
        <w:r w:rsidRPr="004075C8">
          <w:rPr>
            <w:lang w:val="ro-RO"/>
          </w:rPr>
          <w:t xml:space="preserve"> </w:t>
        </w:r>
        <w:r>
          <w:rPr>
            <w:rStyle w:val="FootnoteItalic1"/>
            <w:rFonts w:eastAsia="Arial Unicode MS"/>
            <w:lang w:val="ro-RO"/>
          </w:rPr>
          <w:t xml:space="preserve">Moiseyev împotriva </w:t>
        </w:r>
        <w:r w:rsidRPr="004075C8">
          <w:rPr>
            <w:rStyle w:val="FootnoteItalic1"/>
            <w:rFonts w:eastAsia="Arial Unicode MS"/>
            <w:lang w:val="ro-RO"/>
          </w:rPr>
          <w:t>Rusi</w:t>
        </w:r>
        <w:r>
          <w:rPr>
            <w:rStyle w:val="FootnoteItalic1"/>
            <w:rFonts w:eastAsia="Arial Unicode MS"/>
            <w:lang w:val="ro-RO"/>
          </w:rPr>
          <w:t>ei</w:t>
        </w:r>
        <w:r w:rsidRPr="004075C8">
          <w:rPr>
            <w:rStyle w:val="Footnote22"/>
            <w:rFonts w:eastAsia="Arial Unicode MS"/>
            <w:lang w:val="ro-RO"/>
          </w:rPr>
          <w:t xml:space="preserve"> </w:t>
        </w:r>
      </w:hyperlink>
      <w:r w:rsidRPr="004075C8">
        <w:rPr>
          <w:lang w:val="ro-RO"/>
        </w:rPr>
        <w:t xml:space="preserve">(62936/00), 2008, §209; CEDO, </w:t>
      </w:r>
      <w:r>
        <w:rPr>
          <w:rStyle w:val="FootnoteItalic1"/>
          <w:rFonts w:eastAsia="Arial Unicode MS"/>
          <w:lang w:val="ro-RO"/>
        </w:rPr>
        <w:t xml:space="preserve">Campbell împotriva </w:t>
      </w:r>
      <w:r w:rsidRPr="004075C8">
        <w:rPr>
          <w:rStyle w:val="FootnoteItalic1"/>
          <w:rFonts w:eastAsia="Arial Unicode MS"/>
          <w:lang w:val="ro-RO"/>
        </w:rPr>
        <w:t>Regatul</w:t>
      </w:r>
      <w:r>
        <w:rPr>
          <w:rStyle w:val="FootnoteItalic1"/>
          <w:rFonts w:eastAsia="Arial Unicode MS"/>
          <w:lang w:val="ro-RO"/>
        </w:rPr>
        <w:t>ui</w:t>
      </w:r>
      <w:r w:rsidRPr="004075C8">
        <w:rPr>
          <w:rStyle w:val="FootnoteItalic1"/>
          <w:rFonts w:eastAsia="Arial Unicode MS"/>
          <w:lang w:val="ro-RO"/>
        </w:rPr>
        <w:t xml:space="preserve"> Unit </w:t>
      </w:r>
      <w:r w:rsidRPr="004075C8">
        <w:rPr>
          <w:lang w:val="ro-RO"/>
        </w:rPr>
        <w:t>(13590/88), 1992, §§ 44-48.</w:t>
      </w:r>
    </w:p>
  </w:footnote>
  <w:footnote w:id="11">
    <w:p w:rsidR="006660B9" w:rsidRDefault="006660B9" w:rsidP="00D71D7F">
      <w:pPr>
        <w:pStyle w:val="Footnote1"/>
        <w:shd w:val="clear" w:color="auto" w:fill="auto"/>
        <w:tabs>
          <w:tab w:val="left" w:pos="426"/>
        </w:tabs>
        <w:spacing w:line="160" w:lineRule="exact"/>
        <w:ind w:firstLine="0"/>
      </w:pPr>
      <w:r w:rsidRPr="004075C8">
        <w:rPr>
          <w:vertAlign w:val="superscript"/>
          <w:lang w:val="ro-RO"/>
        </w:rPr>
        <w:footnoteRef/>
      </w:r>
      <w:r w:rsidRPr="004075C8">
        <w:rPr>
          <w:lang w:val="ro-RO"/>
        </w:rPr>
        <w:tab/>
        <w:t>CEDO,</w:t>
      </w:r>
      <w:hyperlink r:id="rId20" w:history="1">
        <w:r w:rsidRPr="004075C8">
          <w:rPr>
            <w:lang w:val="ro-RO"/>
          </w:rPr>
          <w:t xml:space="preserve"> </w:t>
        </w:r>
        <w:r>
          <w:rPr>
            <w:rStyle w:val="FootnoteItalic1"/>
            <w:rFonts w:eastAsia="Arial Unicode MS"/>
            <w:lang w:val="ro-RO"/>
          </w:rPr>
          <w:t xml:space="preserve">Michaud împotriva </w:t>
        </w:r>
        <w:r w:rsidRPr="004075C8">
          <w:rPr>
            <w:rStyle w:val="FootnoteItalic1"/>
            <w:rFonts w:eastAsia="Arial Unicode MS"/>
            <w:lang w:val="ro-RO"/>
          </w:rPr>
          <w:t>Fran</w:t>
        </w:r>
        <w:r>
          <w:rPr>
            <w:rStyle w:val="FootnoteItalic1"/>
            <w:rFonts w:eastAsia="Arial Unicode MS"/>
            <w:lang w:val="ro-RO"/>
          </w:rPr>
          <w:t>ţei</w:t>
        </w:r>
        <w:r w:rsidRPr="004075C8">
          <w:rPr>
            <w:rStyle w:val="FootnoteItalic1"/>
            <w:rFonts w:eastAsia="Arial Unicode MS"/>
            <w:lang w:val="ro-RO"/>
          </w:rPr>
          <w:t xml:space="preserve"> </w:t>
        </w:r>
      </w:hyperlink>
      <w:r w:rsidRPr="004075C8">
        <w:rPr>
          <w:lang w:val="ro-RO"/>
        </w:rPr>
        <w:t>(12323/11), 2012, §117-8.</w:t>
      </w:r>
    </w:p>
  </w:footnote>
  <w:footnote w:id="12">
    <w:p w:rsidR="006660B9" w:rsidRDefault="006660B9" w:rsidP="00D71D7F">
      <w:pPr>
        <w:pStyle w:val="Footnote1"/>
        <w:shd w:val="clear" w:color="auto" w:fill="auto"/>
        <w:tabs>
          <w:tab w:val="left" w:pos="426"/>
        </w:tabs>
        <w:spacing w:line="160" w:lineRule="exact"/>
        <w:ind w:firstLine="0"/>
      </w:pPr>
      <w:r w:rsidRPr="004075C8">
        <w:rPr>
          <w:vertAlign w:val="superscript"/>
          <w:lang w:val="ro-RO"/>
        </w:rPr>
        <w:footnoteRef/>
      </w:r>
      <w:r w:rsidRPr="004075C8">
        <w:rPr>
          <w:lang w:val="ro-RO"/>
        </w:rPr>
        <w:tab/>
        <w:t>Ibid.; a se vedea, de asemenea, CEDO,</w:t>
      </w:r>
      <w:hyperlink r:id="rId21" w:history="1">
        <w:r w:rsidRPr="004075C8">
          <w:rPr>
            <w:lang w:val="ro-RO"/>
          </w:rPr>
          <w:t xml:space="preserve"> </w:t>
        </w:r>
        <w:r w:rsidRPr="004075C8">
          <w:rPr>
            <w:rStyle w:val="FootnoteItalic1"/>
            <w:rFonts w:eastAsia="Arial Unicode MS"/>
            <w:lang w:val="ro-RO"/>
          </w:rPr>
          <w:t>Kopp</w:t>
        </w:r>
        <w:r w:rsidRPr="00A4157A">
          <w:rPr>
            <w:rStyle w:val="FootnoteItalic1"/>
            <w:rFonts w:eastAsia="Arial Unicode MS"/>
            <w:lang w:val="ro-RO"/>
          </w:rPr>
          <w:t xml:space="preserve"> </w:t>
        </w:r>
        <w:r>
          <w:rPr>
            <w:rStyle w:val="FootnoteItalic1"/>
            <w:rFonts w:eastAsia="Arial Unicode MS"/>
            <w:lang w:val="ro-RO"/>
          </w:rPr>
          <w:t xml:space="preserve">împotriva </w:t>
        </w:r>
        <w:r w:rsidRPr="004075C8">
          <w:rPr>
            <w:rStyle w:val="FootnoteItalic1"/>
            <w:rFonts w:eastAsia="Arial Unicode MS"/>
            <w:lang w:val="ro-RO"/>
          </w:rPr>
          <w:t>Elve</w:t>
        </w:r>
        <w:r>
          <w:rPr>
            <w:rStyle w:val="FootnoteItalic1"/>
            <w:rFonts w:eastAsia="Arial Unicode MS"/>
            <w:lang w:val="ro-RO"/>
          </w:rPr>
          <w:t>ţ</w:t>
        </w:r>
        <w:r w:rsidRPr="004075C8">
          <w:rPr>
            <w:rStyle w:val="FootnoteItalic1"/>
            <w:rFonts w:eastAsia="Arial Unicode MS"/>
            <w:lang w:val="ro-RO"/>
          </w:rPr>
          <w:t>i</w:t>
        </w:r>
        <w:r>
          <w:rPr>
            <w:rStyle w:val="FootnoteItalic1"/>
            <w:rFonts w:eastAsia="Arial Unicode MS"/>
            <w:lang w:val="ro-RO"/>
          </w:rPr>
          <w:t>ei</w:t>
        </w:r>
      </w:hyperlink>
      <w:r w:rsidRPr="004075C8">
        <w:rPr>
          <w:lang w:val="ro-RO"/>
        </w:rPr>
        <w:t xml:space="preserve"> (23224/94), 1998.</w:t>
      </w:r>
    </w:p>
  </w:footnote>
  <w:footnote w:id="13">
    <w:p w:rsidR="006660B9" w:rsidRDefault="006660B9" w:rsidP="00D71D7F">
      <w:pPr>
        <w:pStyle w:val="Footnote1"/>
        <w:shd w:val="clear" w:color="auto" w:fill="auto"/>
        <w:tabs>
          <w:tab w:val="left" w:pos="426"/>
        </w:tabs>
        <w:spacing w:line="160" w:lineRule="exact"/>
        <w:ind w:firstLine="0"/>
      </w:pPr>
      <w:r w:rsidRPr="004075C8">
        <w:rPr>
          <w:vertAlign w:val="superscript"/>
          <w:lang w:val="ro-RO"/>
        </w:rPr>
        <w:footnoteRef/>
      </w:r>
      <w:r w:rsidRPr="004075C8">
        <w:rPr>
          <w:lang w:val="ro-RO"/>
        </w:rPr>
        <w:tab/>
        <w:t xml:space="preserve">CJEUE (155/79), 1982, §16 </w:t>
      </w:r>
      <w:r>
        <w:rPr>
          <w:lang w:val="ro-RO"/>
        </w:rPr>
        <w:t>ş</w:t>
      </w:r>
      <w:r w:rsidRPr="004075C8">
        <w:rPr>
          <w:lang w:val="ro-RO"/>
        </w:rPr>
        <w:t>i 18.</w:t>
      </w:r>
    </w:p>
  </w:footnote>
  <w:footnote w:id="14">
    <w:p w:rsidR="006660B9" w:rsidRDefault="006660B9" w:rsidP="00D71D7F">
      <w:pPr>
        <w:pStyle w:val="Footnote1"/>
        <w:shd w:val="clear" w:color="auto" w:fill="auto"/>
        <w:tabs>
          <w:tab w:val="left" w:pos="1268"/>
        </w:tabs>
        <w:ind w:left="360" w:hanging="360"/>
      </w:pPr>
      <w:r w:rsidRPr="004075C8">
        <w:rPr>
          <w:vertAlign w:val="superscript"/>
          <w:lang w:val="ro-RO"/>
        </w:rPr>
        <w:footnoteRef/>
      </w:r>
      <w:r w:rsidRPr="004075C8">
        <w:rPr>
          <w:lang w:val="ro-RO"/>
        </w:rPr>
        <w:tab/>
        <w:t>Ibid. De</w:t>
      </w:r>
      <w:r>
        <w:rPr>
          <w:lang w:val="ro-RO"/>
        </w:rPr>
        <w:t>ş</w:t>
      </w:r>
      <w:r w:rsidRPr="004075C8">
        <w:rPr>
          <w:lang w:val="ro-RO"/>
        </w:rPr>
        <w:t>i spe</w:t>
      </w:r>
      <w:r>
        <w:rPr>
          <w:lang w:val="ro-RO"/>
        </w:rPr>
        <w:t>ţ</w:t>
      </w:r>
      <w:r w:rsidRPr="004075C8">
        <w:rPr>
          <w:lang w:val="ro-RO"/>
        </w:rPr>
        <w:t xml:space="preserve">a </w:t>
      </w:r>
      <w:r w:rsidRPr="004075C8">
        <w:rPr>
          <w:rStyle w:val="FootnoteItalic"/>
          <w:rFonts w:eastAsia="Arial Unicode MS"/>
          <w:lang w:val="ro-RO"/>
        </w:rPr>
        <w:t>AM&amp;S</w:t>
      </w:r>
      <w:r w:rsidRPr="004075C8">
        <w:rPr>
          <w:lang w:val="ro-RO"/>
        </w:rPr>
        <w:t xml:space="preserve"> s-a referit la inspec</w:t>
      </w:r>
      <w:r>
        <w:rPr>
          <w:lang w:val="ro-RO"/>
        </w:rPr>
        <w:t>ţ</w:t>
      </w:r>
      <w:r w:rsidRPr="004075C8">
        <w:rPr>
          <w:lang w:val="ro-RO"/>
        </w:rPr>
        <w:t xml:space="preserve">ii, în general, s-a recunoscut că principiile stabilite în această cauză se aplică </w:t>
      </w:r>
      <w:r>
        <w:rPr>
          <w:lang w:val="ro-RO"/>
        </w:rPr>
        <w:t>ş</w:t>
      </w:r>
      <w:r w:rsidRPr="004075C8">
        <w:rPr>
          <w:lang w:val="ro-RO"/>
        </w:rPr>
        <w:t>i cererilor de informa</w:t>
      </w:r>
      <w:r>
        <w:rPr>
          <w:lang w:val="ro-RO"/>
        </w:rPr>
        <w:t>ţ</w:t>
      </w:r>
      <w:r w:rsidRPr="004075C8">
        <w:rPr>
          <w:lang w:val="ro-RO"/>
        </w:rPr>
        <w:t>ii ale Comisiei. Spe</w:t>
      </w:r>
      <w:r>
        <w:rPr>
          <w:lang w:val="ro-RO"/>
        </w:rPr>
        <w:t>ţ</w:t>
      </w:r>
      <w:r w:rsidRPr="004075C8">
        <w:rPr>
          <w:lang w:val="ro-RO"/>
        </w:rPr>
        <w:t>a AM&amp;S a avut ca punct de pornire o controversă referitoare la confiden</w:t>
      </w:r>
      <w:r>
        <w:rPr>
          <w:lang w:val="ro-RO"/>
        </w:rPr>
        <w:t>ţ</w:t>
      </w:r>
      <w:r w:rsidRPr="004075C8">
        <w:rPr>
          <w:lang w:val="ro-RO"/>
        </w:rPr>
        <w:t>ialitatea unei serii de documente găsite la sediul AM&amp;S – o societate comercială din Marea Britanie – pe parcursul unei anchete cu privire la existen</w:t>
      </w:r>
      <w:r>
        <w:rPr>
          <w:lang w:val="ro-RO"/>
        </w:rPr>
        <w:t>ţ</w:t>
      </w:r>
      <w:r w:rsidRPr="004075C8">
        <w:rPr>
          <w:lang w:val="ro-RO"/>
        </w:rPr>
        <w:t xml:space="preserve">a unui cartel. Compania a refuzat să prezinte anumite documente invocând faptul că este vorba despre comunicări scrise privilegiate între avocat </w:t>
      </w:r>
      <w:r>
        <w:rPr>
          <w:lang w:val="ro-RO"/>
        </w:rPr>
        <w:t>ş</w:t>
      </w:r>
      <w:r w:rsidRPr="004075C8">
        <w:rPr>
          <w:lang w:val="ro-RO"/>
        </w:rPr>
        <w:t>i client. Comisia Europeană a emis o decizie prin care a solicitat AM&amp;S să pună la dispozi</w:t>
      </w:r>
      <w:r>
        <w:rPr>
          <w:lang w:val="ro-RO"/>
        </w:rPr>
        <w:t>ţ</w:t>
      </w:r>
      <w:r w:rsidRPr="004075C8">
        <w:rPr>
          <w:lang w:val="ro-RO"/>
        </w:rPr>
        <w:t>ie documentele respective.</w:t>
      </w:r>
    </w:p>
  </w:footnote>
  <w:footnote w:id="15">
    <w:p w:rsidR="006660B9" w:rsidRDefault="006660B9" w:rsidP="00D71D7F">
      <w:pPr>
        <w:pStyle w:val="Footnote21"/>
        <w:shd w:val="clear" w:color="auto" w:fill="auto"/>
        <w:tabs>
          <w:tab w:val="left" w:pos="1268"/>
        </w:tabs>
        <w:spacing w:line="182" w:lineRule="exact"/>
        <w:ind w:left="360" w:hanging="36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 xml:space="preserve">Ibid., §24: </w:t>
      </w:r>
      <w:r w:rsidRPr="004075C8">
        <w:rPr>
          <w:lang w:val="ro-RO"/>
        </w:rPr>
        <w:t>În ceea ce prive</w:t>
      </w:r>
      <w:r>
        <w:rPr>
          <w:lang w:val="ro-RO"/>
        </w:rPr>
        <w:t>ş</w:t>
      </w:r>
      <w:r w:rsidRPr="004075C8">
        <w:rPr>
          <w:lang w:val="ro-RO"/>
        </w:rPr>
        <w:t>te cea de-a doua condi</w:t>
      </w:r>
      <w:r>
        <w:rPr>
          <w:lang w:val="ro-RO"/>
        </w:rPr>
        <w:t>ţ</w:t>
      </w:r>
      <w:r w:rsidRPr="004075C8">
        <w:rPr>
          <w:lang w:val="ro-RO"/>
        </w:rPr>
        <w:t>ie, ar trebui men</w:t>
      </w:r>
      <w:r>
        <w:rPr>
          <w:lang w:val="ro-RO"/>
        </w:rPr>
        <w:t>ţ</w:t>
      </w:r>
      <w:r w:rsidRPr="004075C8">
        <w:rPr>
          <w:lang w:val="ro-RO"/>
        </w:rPr>
        <w:t>ionat că cerin</w:t>
      </w:r>
      <w:r>
        <w:rPr>
          <w:lang w:val="ro-RO"/>
        </w:rPr>
        <w:t>ţ</w:t>
      </w:r>
      <w:r w:rsidRPr="004075C8">
        <w:rPr>
          <w:lang w:val="ro-RO"/>
        </w:rPr>
        <w:t>a referitoare la pozi</w:t>
      </w:r>
      <w:r>
        <w:rPr>
          <w:lang w:val="ro-RO"/>
        </w:rPr>
        <w:t>ţ</w:t>
      </w:r>
      <w:r w:rsidRPr="004075C8">
        <w:rPr>
          <w:lang w:val="ro-RO"/>
        </w:rPr>
        <w:t xml:space="preserve">ia </w:t>
      </w:r>
      <w:r>
        <w:rPr>
          <w:lang w:val="ro-RO"/>
        </w:rPr>
        <w:t>ş</w:t>
      </w:r>
      <w:r w:rsidRPr="004075C8">
        <w:rPr>
          <w:lang w:val="ro-RO"/>
        </w:rPr>
        <w:t>i statutul de avocat independent ce trebuie îndeplinită de către consilierul juridic care a întocmit comunicările scrise ce pot fi protejate se bazează pe conceptul conform căruia rolul avocatului este de a colabora în cadrul administrării justi</w:t>
      </w:r>
      <w:r>
        <w:rPr>
          <w:lang w:val="ro-RO"/>
        </w:rPr>
        <w:t>ţ</w:t>
      </w:r>
      <w:r w:rsidRPr="004075C8">
        <w:rPr>
          <w:lang w:val="ro-RO"/>
        </w:rPr>
        <w:t>iei de către instan</w:t>
      </w:r>
      <w:r>
        <w:rPr>
          <w:lang w:val="ro-RO"/>
        </w:rPr>
        <w:t>ţ</w:t>
      </w:r>
      <w:r w:rsidRPr="004075C8">
        <w:rPr>
          <w:lang w:val="ro-RO"/>
        </w:rPr>
        <w:t xml:space="preserve">e </w:t>
      </w:r>
      <w:r>
        <w:rPr>
          <w:lang w:val="ro-RO"/>
        </w:rPr>
        <w:t>ş</w:t>
      </w:r>
      <w:r w:rsidRPr="004075C8">
        <w:rPr>
          <w:lang w:val="ro-RO"/>
        </w:rPr>
        <w:t>i de a i se solicita să acorde, în condi</w:t>
      </w:r>
      <w:r>
        <w:rPr>
          <w:lang w:val="ro-RO"/>
        </w:rPr>
        <w:t>ţ</w:t>
      </w:r>
      <w:r w:rsidRPr="004075C8">
        <w:rPr>
          <w:lang w:val="ro-RO"/>
        </w:rPr>
        <w:t>iile unei independen</w:t>
      </w:r>
      <w:r>
        <w:rPr>
          <w:lang w:val="ro-RO"/>
        </w:rPr>
        <w:t>ţ</w:t>
      </w:r>
      <w:r w:rsidRPr="004075C8">
        <w:rPr>
          <w:lang w:val="ro-RO"/>
        </w:rPr>
        <w:t xml:space="preserve">e absolute </w:t>
      </w:r>
      <w:r>
        <w:rPr>
          <w:lang w:val="ro-RO"/>
        </w:rPr>
        <w:t>ş</w:t>
      </w:r>
      <w:r w:rsidRPr="004075C8">
        <w:rPr>
          <w:lang w:val="ro-RO"/>
        </w:rPr>
        <w:t>i având în vedere interesele majore ale spe</w:t>
      </w:r>
      <w:r>
        <w:rPr>
          <w:lang w:val="ro-RO"/>
        </w:rPr>
        <w:t>ţ</w:t>
      </w:r>
      <w:r w:rsidRPr="004075C8">
        <w:rPr>
          <w:lang w:val="ro-RO"/>
        </w:rPr>
        <w:t>ei în cauză, asisten</w:t>
      </w:r>
      <w:r>
        <w:rPr>
          <w:lang w:val="ro-RO"/>
        </w:rPr>
        <w:t>ţ</w:t>
      </w:r>
      <w:r w:rsidRPr="004075C8">
        <w:rPr>
          <w:lang w:val="ro-RO"/>
        </w:rPr>
        <w:t>a juridică de care are nevoie clientul. Echivalentul acestei protec</w:t>
      </w:r>
      <w:r>
        <w:rPr>
          <w:lang w:val="ro-RO"/>
        </w:rPr>
        <w:t>ţ</w:t>
      </w:r>
      <w:r w:rsidRPr="004075C8">
        <w:rPr>
          <w:lang w:val="ro-RO"/>
        </w:rPr>
        <w:t xml:space="preserve">ii este reprezentat de normele de etică profesională </w:t>
      </w:r>
      <w:r>
        <w:rPr>
          <w:lang w:val="ro-RO"/>
        </w:rPr>
        <w:t>ş</w:t>
      </w:r>
      <w:r w:rsidRPr="004075C8">
        <w:rPr>
          <w:lang w:val="ro-RO"/>
        </w:rPr>
        <w:t xml:space="preserve">i disciplină prevăzute </w:t>
      </w:r>
      <w:r>
        <w:rPr>
          <w:lang w:val="ro-RO"/>
        </w:rPr>
        <w:t>ş</w:t>
      </w:r>
      <w:r w:rsidRPr="004075C8">
        <w:rPr>
          <w:lang w:val="ro-RO"/>
        </w:rPr>
        <w:t>i aplicate în interes general de către institu</w:t>
      </w:r>
      <w:r>
        <w:rPr>
          <w:lang w:val="ro-RO"/>
        </w:rPr>
        <w:t>ţ</w:t>
      </w:r>
      <w:r w:rsidRPr="004075C8">
        <w:rPr>
          <w:lang w:val="ro-RO"/>
        </w:rPr>
        <w:t>iile cărora le-a fost atribuită autoritatea necesară în acest scop. Acest concept reflectă tradi</w:t>
      </w:r>
      <w:r>
        <w:rPr>
          <w:lang w:val="ro-RO"/>
        </w:rPr>
        <w:t>ţ</w:t>
      </w:r>
      <w:r w:rsidRPr="004075C8">
        <w:rPr>
          <w:lang w:val="ro-RO"/>
        </w:rPr>
        <w:t>iile juridice comune statelor membre, regăsindu-se, de asemenea, în ordinea juridică comunitară, după cum se arată la articolul 17 din Protocoalele privind Statutele Cur</w:t>
      </w:r>
      <w:r>
        <w:rPr>
          <w:lang w:val="ro-RO"/>
        </w:rPr>
        <w:t>ţ</w:t>
      </w:r>
      <w:r w:rsidRPr="004075C8">
        <w:rPr>
          <w:lang w:val="ro-RO"/>
        </w:rPr>
        <w:t>ii de Justi</w:t>
      </w:r>
      <w:r>
        <w:rPr>
          <w:lang w:val="ro-RO"/>
        </w:rPr>
        <w:t>ţ</w:t>
      </w:r>
      <w:r w:rsidRPr="004075C8">
        <w:rPr>
          <w:lang w:val="ro-RO"/>
        </w:rPr>
        <w:t xml:space="preserve">ie CEE </w:t>
      </w:r>
      <w:r>
        <w:rPr>
          <w:lang w:val="ro-RO"/>
        </w:rPr>
        <w:t>ş</w:t>
      </w:r>
      <w:r w:rsidRPr="004075C8">
        <w:rPr>
          <w:lang w:val="ro-RO"/>
        </w:rPr>
        <w:t xml:space="preserve">i CEEA </w:t>
      </w:r>
      <w:r>
        <w:rPr>
          <w:lang w:val="ro-RO"/>
        </w:rPr>
        <w:t>ş</w:t>
      </w:r>
      <w:r w:rsidRPr="004075C8">
        <w:rPr>
          <w:lang w:val="ro-RO"/>
        </w:rPr>
        <w:t>i la articolul 20 din protocolul privind statutul Cur</w:t>
      </w:r>
      <w:r>
        <w:rPr>
          <w:lang w:val="ro-RO"/>
        </w:rPr>
        <w:t>ţ</w:t>
      </w:r>
      <w:r w:rsidRPr="004075C8">
        <w:rPr>
          <w:lang w:val="ro-RO"/>
        </w:rPr>
        <w:t>ii de Justi</w:t>
      </w:r>
      <w:r>
        <w:rPr>
          <w:lang w:val="ro-RO"/>
        </w:rPr>
        <w:t>ţ</w:t>
      </w:r>
      <w:r w:rsidRPr="004075C8">
        <w:rPr>
          <w:lang w:val="ro-RO"/>
        </w:rPr>
        <w:t>ie CECO.</w:t>
      </w:r>
    </w:p>
  </w:footnote>
  <w:footnote w:id="16">
    <w:p w:rsidR="006660B9" w:rsidRDefault="006660B9" w:rsidP="00D71D7F">
      <w:pPr>
        <w:pStyle w:val="Footnote1"/>
        <w:shd w:val="clear" w:color="auto" w:fill="auto"/>
        <w:tabs>
          <w:tab w:val="left" w:pos="426"/>
        </w:tabs>
        <w:ind w:left="360" w:hanging="360"/>
      </w:pPr>
      <w:r w:rsidRPr="004075C8">
        <w:rPr>
          <w:rStyle w:val="FootnoteReference"/>
          <w:rFonts w:cs="Arial"/>
          <w:lang w:val="ro-RO"/>
        </w:rPr>
        <w:footnoteRef/>
      </w:r>
      <w:r w:rsidRPr="004075C8">
        <w:rPr>
          <w:lang w:val="ro-RO"/>
        </w:rPr>
        <w:t xml:space="preserve"> </w:t>
      </w:r>
      <w:r w:rsidRPr="004075C8">
        <w:rPr>
          <w:lang w:val="ro-RO"/>
        </w:rPr>
        <w:tab/>
        <w:t>Fordham International Law Journal, volumul 28, numărul 4, pagina 1009, 2004.</w:t>
      </w:r>
    </w:p>
  </w:footnote>
  <w:footnote w:id="17">
    <w:p w:rsidR="006660B9" w:rsidRDefault="006660B9" w:rsidP="00D71D7F">
      <w:pPr>
        <w:pStyle w:val="Footnote1"/>
        <w:shd w:val="clear" w:color="auto" w:fill="auto"/>
        <w:tabs>
          <w:tab w:val="left" w:pos="426"/>
        </w:tabs>
        <w:ind w:left="360" w:hanging="360"/>
      </w:pPr>
      <w:r w:rsidRPr="004075C8">
        <w:rPr>
          <w:vertAlign w:val="superscript"/>
          <w:lang w:val="ro-RO"/>
        </w:rPr>
        <w:footnoteRef/>
      </w:r>
      <w:r w:rsidRPr="004075C8">
        <w:rPr>
          <w:lang w:val="ro-RO"/>
        </w:rPr>
        <w:tab/>
        <w:t xml:space="preserve">CJUE, </w:t>
      </w:r>
      <w:r>
        <w:rPr>
          <w:rStyle w:val="FootnoteItalic"/>
          <w:rFonts w:eastAsia="Arial Unicode MS"/>
          <w:lang w:val="ro-RO"/>
        </w:rPr>
        <w:t xml:space="preserve">AM &amp; S împotriva </w:t>
      </w:r>
      <w:r w:rsidRPr="004075C8">
        <w:rPr>
          <w:rStyle w:val="FootnoteItalic"/>
          <w:rFonts w:eastAsia="Arial Unicode MS"/>
          <w:lang w:val="ro-RO"/>
        </w:rPr>
        <w:t>Comisi</w:t>
      </w:r>
      <w:r>
        <w:rPr>
          <w:rStyle w:val="FootnoteItalic"/>
          <w:rFonts w:eastAsia="Arial Unicode MS"/>
          <w:lang w:val="ro-RO"/>
        </w:rPr>
        <w:t>ei</w:t>
      </w:r>
      <w:r w:rsidRPr="004075C8">
        <w:rPr>
          <w:rStyle w:val="FootnoteItalic"/>
          <w:rFonts w:eastAsia="Arial Unicode MS"/>
          <w:lang w:val="ro-RO"/>
        </w:rPr>
        <w:t xml:space="preserve"> </w:t>
      </w:r>
      <w:r w:rsidRPr="004075C8">
        <w:rPr>
          <w:lang w:val="ro-RO"/>
        </w:rPr>
        <w:t>(155/79), §25. Limitele acestei protec</w:t>
      </w:r>
      <w:r>
        <w:rPr>
          <w:lang w:val="ro-RO"/>
        </w:rPr>
        <w:t>ţ</w:t>
      </w:r>
      <w:r w:rsidRPr="004075C8">
        <w:rPr>
          <w:lang w:val="ro-RO"/>
        </w:rPr>
        <w:t xml:space="preserve">ii urmează să fie stabilite prin trimitere la normele privind practicarea profesiei juridice prevăzute în Directiva 77/249/CEE a Consiliului din 22 martie 1977 </w:t>
      </w:r>
      <w:r>
        <w:rPr>
          <w:lang w:val="ro-RO"/>
        </w:rPr>
        <w:t xml:space="preserve">de </w:t>
      </w:r>
      <w:r w:rsidRPr="004075C8">
        <w:rPr>
          <w:lang w:val="ro-RO"/>
        </w:rPr>
        <w:t>facilita</w:t>
      </w:r>
      <w:r>
        <w:rPr>
          <w:lang w:val="ro-RO"/>
        </w:rPr>
        <w:t>re</w:t>
      </w:r>
      <w:r w:rsidRPr="004075C8">
        <w:rPr>
          <w:lang w:val="ro-RO"/>
        </w:rPr>
        <w:t xml:space="preserve"> </w:t>
      </w:r>
      <w:r>
        <w:rPr>
          <w:lang w:val="ro-RO"/>
        </w:rPr>
        <w:t>a exercitării</w:t>
      </w:r>
      <w:r w:rsidRPr="004075C8">
        <w:rPr>
          <w:lang w:val="ro-RO"/>
        </w:rPr>
        <w:t xml:space="preserve"> efectiv</w:t>
      </w:r>
      <w:r>
        <w:rPr>
          <w:lang w:val="ro-RO"/>
        </w:rPr>
        <w:t>e</w:t>
      </w:r>
      <w:r w:rsidRPr="004075C8">
        <w:rPr>
          <w:lang w:val="ro-RO"/>
        </w:rPr>
        <w:t xml:space="preserve"> de către avoca</w:t>
      </w:r>
      <w:r>
        <w:rPr>
          <w:lang w:val="ro-RO"/>
        </w:rPr>
        <w:t>ţ</w:t>
      </w:r>
      <w:r w:rsidRPr="004075C8">
        <w:rPr>
          <w:lang w:val="ro-RO"/>
        </w:rPr>
        <w:t>i a libertă</w:t>
      </w:r>
      <w:r>
        <w:rPr>
          <w:lang w:val="ro-RO"/>
        </w:rPr>
        <w:t>ţ</w:t>
      </w:r>
      <w:r w:rsidRPr="004075C8">
        <w:rPr>
          <w:lang w:val="ro-RO"/>
        </w:rPr>
        <w:t xml:space="preserve">ii de a presta servicii (JO L 78/17) </w:t>
      </w:r>
      <w:r>
        <w:rPr>
          <w:lang w:val="ro-RO"/>
        </w:rPr>
        <w:t>ş</w:t>
      </w:r>
      <w:r w:rsidRPr="004075C8">
        <w:rPr>
          <w:lang w:val="ro-RO"/>
        </w:rPr>
        <w:t xml:space="preserve">i Directiva 98/5/CE a Parlamentului European </w:t>
      </w:r>
      <w:r>
        <w:rPr>
          <w:lang w:val="ro-RO"/>
        </w:rPr>
        <w:t>ş</w:t>
      </w:r>
      <w:r w:rsidRPr="004075C8">
        <w:rPr>
          <w:lang w:val="ro-RO"/>
        </w:rPr>
        <w:t>i a Consiliului din 16 februarie 1998 de facilitare a exercitării cu caracter permanent a profesiei de avocat într-un stat membru, altul decât cel în care s-a ob</w:t>
      </w:r>
      <w:r>
        <w:rPr>
          <w:lang w:val="ro-RO"/>
        </w:rPr>
        <w:t>ţ</w:t>
      </w:r>
      <w:r w:rsidRPr="004075C8">
        <w:rPr>
          <w:lang w:val="ro-RO"/>
        </w:rPr>
        <w:t>inut calificarea (JO L 77/36).</w:t>
      </w:r>
    </w:p>
  </w:footnote>
  <w:footnote w:id="18">
    <w:p w:rsidR="006660B9" w:rsidRDefault="006660B9" w:rsidP="00D71D7F">
      <w:pPr>
        <w:pStyle w:val="Footnote1"/>
        <w:shd w:val="clear" w:color="auto" w:fill="auto"/>
        <w:tabs>
          <w:tab w:val="left" w:pos="284"/>
        </w:tabs>
        <w:spacing w:line="240" w:lineRule="exact"/>
        <w:ind w:firstLine="0"/>
      </w:pPr>
      <w:r w:rsidRPr="004075C8">
        <w:rPr>
          <w:vertAlign w:val="superscript"/>
          <w:lang w:val="ro-RO"/>
        </w:rPr>
        <w:footnoteRef/>
      </w:r>
      <w:r w:rsidRPr="004075C8">
        <w:rPr>
          <w:lang w:val="ro-RO"/>
        </w:rPr>
        <w:tab/>
        <w:t xml:space="preserve">CJUE, </w:t>
      </w:r>
      <w:r>
        <w:rPr>
          <w:rStyle w:val="FootnoteItalic"/>
          <w:rFonts w:eastAsia="Arial Unicode MS"/>
          <w:lang w:val="ro-RO"/>
        </w:rPr>
        <w:t>AM &amp; S</w:t>
      </w:r>
      <w:r w:rsidRPr="008229E8">
        <w:rPr>
          <w:rStyle w:val="FootnoteItalic"/>
          <w:rFonts w:eastAsia="Arial Unicode MS"/>
          <w:lang w:val="ro-RO"/>
        </w:rPr>
        <w:t xml:space="preserve"> </w:t>
      </w:r>
      <w:r>
        <w:rPr>
          <w:rStyle w:val="FootnoteItalic"/>
          <w:rFonts w:eastAsia="Arial Unicode MS"/>
          <w:lang w:val="ro-RO"/>
        </w:rPr>
        <w:t xml:space="preserve">împotriva </w:t>
      </w:r>
      <w:r w:rsidRPr="004075C8">
        <w:rPr>
          <w:rStyle w:val="FootnoteItalic"/>
          <w:rFonts w:eastAsia="Arial Unicode MS"/>
          <w:lang w:val="ro-RO"/>
        </w:rPr>
        <w:t>Comisi</w:t>
      </w:r>
      <w:r>
        <w:rPr>
          <w:rStyle w:val="FootnoteItalic"/>
          <w:rFonts w:eastAsia="Arial Unicode MS"/>
          <w:lang w:val="ro-RO"/>
        </w:rPr>
        <w:t>ei</w:t>
      </w:r>
      <w:r w:rsidRPr="004075C8">
        <w:rPr>
          <w:rStyle w:val="FootnoteItalic"/>
          <w:rFonts w:eastAsia="Arial Unicode MS"/>
          <w:lang w:val="ro-RO"/>
        </w:rPr>
        <w:t xml:space="preserve"> </w:t>
      </w:r>
      <w:r w:rsidRPr="004075C8">
        <w:rPr>
          <w:lang w:val="ro-RO"/>
        </w:rPr>
        <w:t xml:space="preserve">(155/79), §24 </w:t>
      </w:r>
      <w:r>
        <w:rPr>
          <w:lang w:val="ro-RO"/>
        </w:rPr>
        <w:t>ş</w:t>
      </w:r>
      <w:r w:rsidRPr="004075C8">
        <w:rPr>
          <w:lang w:val="ro-RO"/>
        </w:rPr>
        <w:t>i 27.</w:t>
      </w:r>
    </w:p>
  </w:footnote>
  <w:footnote w:id="19">
    <w:p w:rsidR="006660B9" w:rsidRDefault="006660B9" w:rsidP="00D71D7F">
      <w:pPr>
        <w:pStyle w:val="Footnote1"/>
        <w:shd w:val="clear" w:color="auto" w:fill="auto"/>
        <w:tabs>
          <w:tab w:val="left" w:pos="284"/>
        </w:tabs>
        <w:spacing w:line="240" w:lineRule="exact"/>
        <w:ind w:firstLine="0"/>
      </w:pPr>
      <w:r w:rsidRPr="004075C8">
        <w:rPr>
          <w:vertAlign w:val="superscript"/>
          <w:lang w:val="ro-RO"/>
        </w:rPr>
        <w:footnoteRef/>
      </w:r>
      <w:r w:rsidRPr="004075C8">
        <w:rPr>
          <w:lang w:val="ro-RO"/>
        </w:rPr>
        <w:tab/>
        <w:t>Ibid</w:t>
      </w:r>
      <w:r w:rsidRPr="004075C8">
        <w:rPr>
          <w:rStyle w:val="FootnoteItalic"/>
          <w:rFonts w:eastAsia="Arial Unicode MS"/>
          <w:lang w:val="ro-RO"/>
        </w:rPr>
        <w:t>.</w:t>
      </w:r>
    </w:p>
  </w:footnote>
  <w:footnote w:id="20">
    <w:p w:rsidR="006660B9" w:rsidRDefault="006660B9" w:rsidP="00D71D7F">
      <w:pPr>
        <w:pStyle w:val="Footnote1"/>
        <w:shd w:val="clear" w:color="auto" w:fill="auto"/>
        <w:tabs>
          <w:tab w:val="left" w:pos="284"/>
        </w:tabs>
        <w:spacing w:line="240" w:lineRule="exact"/>
        <w:ind w:firstLine="0"/>
      </w:pPr>
      <w:r w:rsidRPr="004075C8">
        <w:rPr>
          <w:vertAlign w:val="superscript"/>
          <w:lang w:val="ro-RO"/>
        </w:rPr>
        <w:footnoteRef/>
      </w:r>
      <w:r w:rsidRPr="004075C8">
        <w:rPr>
          <w:lang w:val="ro-RO"/>
        </w:rPr>
        <w:tab/>
        <w:t xml:space="preserve">CEDO, S. împotriva </w:t>
      </w:r>
      <w:r w:rsidRPr="004075C8">
        <w:rPr>
          <w:rStyle w:val="FootnoteItalic"/>
          <w:rFonts w:eastAsia="Arial Unicode MS"/>
          <w:lang w:val="ro-RO"/>
        </w:rPr>
        <w:t>Elve</w:t>
      </w:r>
      <w:r>
        <w:rPr>
          <w:rStyle w:val="FootnoteItalic"/>
          <w:rFonts w:eastAsia="Arial Unicode MS"/>
          <w:lang w:val="ro-RO"/>
        </w:rPr>
        <w:t>ţ</w:t>
      </w:r>
      <w:r w:rsidRPr="004075C8">
        <w:rPr>
          <w:rStyle w:val="FootnoteItalic"/>
          <w:rFonts w:eastAsia="Arial Unicode MS"/>
          <w:lang w:val="ro-RO"/>
        </w:rPr>
        <w:t xml:space="preserve">iei </w:t>
      </w:r>
      <w:r w:rsidRPr="004075C8">
        <w:rPr>
          <w:lang w:val="ro-RO"/>
        </w:rPr>
        <w:t>(12629/87), 1991, §48.</w:t>
      </w:r>
    </w:p>
  </w:footnote>
  <w:footnote w:id="21">
    <w:p w:rsidR="006660B9" w:rsidRDefault="006660B9" w:rsidP="00D71D7F">
      <w:pPr>
        <w:pStyle w:val="Footnote1"/>
        <w:shd w:val="clear" w:color="auto" w:fill="auto"/>
        <w:tabs>
          <w:tab w:val="left" w:pos="270"/>
        </w:tabs>
        <w:spacing w:line="240" w:lineRule="exact"/>
        <w:ind w:firstLine="0"/>
      </w:pPr>
      <w:r w:rsidRPr="004075C8">
        <w:rPr>
          <w:vertAlign w:val="superscript"/>
          <w:lang w:val="ro-RO"/>
        </w:rPr>
        <w:footnoteRef/>
      </w:r>
      <w:r w:rsidRPr="004075C8">
        <w:rPr>
          <w:lang w:val="ro-RO"/>
        </w:rPr>
        <w:tab/>
        <w:t>CEDO,</w:t>
      </w:r>
      <w:hyperlink r:id="rId22" w:history="1">
        <w:r w:rsidRPr="004075C8">
          <w:rPr>
            <w:lang w:val="ro-RO"/>
          </w:rPr>
          <w:t xml:space="preserve"> </w:t>
        </w:r>
        <w:r w:rsidRPr="004075C8">
          <w:rPr>
            <w:rStyle w:val="FootnoteItalic1"/>
            <w:rFonts w:eastAsia="Arial Unicode MS"/>
            <w:lang w:val="ro-RO"/>
          </w:rPr>
          <w:t>Pruteanu împotriva României</w:t>
        </w:r>
        <w:r w:rsidRPr="004075C8">
          <w:rPr>
            <w:rStyle w:val="Footnote22"/>
            <w:rFonts w:eastAsia="Arial Unicode MS"/>
            <w:lang w:val="ro-RO"/>
          </w:rPr>
          <w:t xml:space="preserve"> </w:t>
        </w:r>
      </w:hyperlink>
      <w:r w:rsidRPr="004075C8">
        <w:rPr>
          <w:lang w:val="ro-RO"/>
        </w:rPr>
        <w:t>(30181/05), 2015, §49. [traducere neoficială]</w:t>
      </w:r>
    </w:p>
  </w:footnote>
  <w:footnote w:id="22">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CEDO,</w:t>
      </w:r>
      <w:hyperlink r:id="rId23" w:history="1">
        <w:r w:rsidRPr="004075C8">
          <w:rPr>
            <w:lang w:val="ro-RO"/>
          </w:rPr>
          <w:t xml:space="preserve"> </w:t>
        </w:r>
        <w:r w:rsidRPr="004075C8">
          <w:rPr>
            <w:rStyle w:val="FootnoteItalic1"/>
            <w:rFonts w:eastAsia="Arial Unicode MS"/>
            <w:lang w:val="ro-RO"/>
          </w:rPr>
          <w:t>Niemietz împotriva Germaniei</w:t>
        </w:r>
        <w:r w:rsidRPr="004075C8">
          <w:rPr>
            <w:rStyle w:val="Footnote22"/>
            <w:rFonts w:eastAsia="Arial Unicode MS"/>
            <w:lang w:val="ro-RO"/>
          </w:rPr>
          <w:t xml:space="preserve"> </w:t>
        </w:r>
      </w:hyperlink>
      <w:r w:rsidRPr="004075C8">
        <w:rPr>
          <w:lang w:val="ro-RO"/>
        </w:rPr>
        <w:t>(13710/88), 1992, §37.</w:t>
      </w:r>
    </w:p>
  </w:footnote>
  <w:footnote w:id="23">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 xml:space="preserve">CEDO, </w:t>
      </w:r>
      <w:r w:rsidRPr="004075C8">
        <w:rPr>
          <w:rStyle w:val="FootnoteItalic"/>
          <w:rFonts w:eastAsia="Arial Unicode MS"/>
          <w:lang w:val="ro-RO"/>
        </w:rPr>
        <w:t>Kopp împotriva Elve</w:t>
      </w:r>
      <w:r>
        <w:rPr>
          <w:rStyle w:val="FootnoteItalic"/>
          <w:rFonts w:eastAsia="Arial Unicode MS"/>
          <w:lang w:val="ro-RO"/>
        </w:rPr>
        <w:t>ţ</w:t>
      </w:r>
      <w:r w:rsidRPr="004075C8">
        <w:rPr>
          <w:rStyle w:val="FootnoteItalic"/>
          <w:rFonts w:eastAsia="Arial Unicode MS"/>
          <w:lang w:val="ro-RO"/>
        </w:rPr>
        <w:t xml:space="preserve">iei </w:t>
      </w:r>
      <w:r w:rsidRPr="004075C8">
        <w:rPr>
          <w:lang w:val="ro-RO"/>
        </w:rPr>
        <w:t>(23224/94), 1998, §74.</w:t>
      </w:r>
    </w:p>
  </w:footnote>
  <w:footnote w:id="24">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CEDO,</w:t>
      </w:r>
      <w:hyperlink r:id="rId24" w:history="1">
        <w:r w:rsidRPr="004075C8">
          <w:rPr>
            <w:lang w:val="ro-RO"/>
          </w:rPr>
          <w:t xml:space="preserve"> </w:t>
        </w:r>
        <w:r w:rsidRPr="004075C8">
          <w:rPr>
            <w:rStyle w:val="FootnoteItalic1"/>
            <w:rFonts w:eastAsia="Arial Unicode MS"/>
            <w:lang w:val="ro-RO"/>
          </w:rPr>
          <w:t>Foxley împotriva UK</w:t>
        </w:r>
        <w:r w:rsidRPr="004075C8">
          <w:rPr>
            <w:rStyle w:val="Footnote22"/>
            <w:rFonts w:eastAsia="Arial Unicode MS"/>
            <w:lang w:val="ro-RO"/>
          </w:rPr>
          <w:t xml:space="preserve"> </w:t>
        </w:r>
      </w:hyperlink>
      <w:r w:rsidRPr="004075C8">
        <w:rPr>
          <w:lang w:val="ro-RO"/>
        </w:rPr>
        <w:t>(33274/96), 2000.</w:t>
      </w:r>
    </w:p>
  </w:footnote>
  <w:footnote w:id="25">
    <w:p w:rsidR="006660B9" w:rsidRDefault="006660B9" w:rsidP="00D71D7F">
      <w:pPr>
        <w:pStyle w:val="Footnote1"/>
        <w:shd w:val="clear" w:color="auto" w:fill="auto"/>
        <w:tabs>
          <w:tab w:val="left" w:pos="284"/>
        </w:tabs>
        <w:spacing w:line="192" w:lineRule="exact"/>
        <w:ind w:left="284" w:hanging="284"/>
      </w:pPr>
      <w:r w:rsidRPr="004075C8">
        <w:rPr>
          <w:vertAlign w:val="superscript"/>
          <w:lang w:val="ro-RO"/>
        </w:rPr>
        <w:footnoteRef/>
      </w:r>
      <w:r w:rsidRPr="004075C8">
        <w:rPr>
          <w:lang w:val="ro-RO"/>
        </w:rPr>
        <w:t xml:space="preserve"> </w:t>
      </w:r>
      <w:r w:rsidRPr="004075C8">
        <w:rPr>
          <w:lang w:val="ro-RO"/>
        </w:rPr>
        <w:tab/>
        <w:t>A se vedea, de asemenea, CEDO,</w:t>
      </w:r>
      <w:hyperlink r:id="rId25" w:history="1">
        <w:r w:rsidRPr="004075C8">
          <w:rPr>
            <w:lang w:val="ro-RO"/>
          </w:rPr>
          <w:t xml:space="preserve"> </w:t>
        </w:r>
        <w:r>
          <w:rPr>
            <w:rStyle w:val="FootnoteItalic1"/>
            <w:rFonts w:eastAsia="Arial Unicode MS"/>
            <w:lang w:val="ro-RO"/>
          </w:rPr>
          <w:t xml:space="preserve">Niemietz împotriva </w:t>
        </w:r>
        <w:r w:rsidRPr="004075C8">
          <w:rPr>
            <w:rStyle w:val="FootnoteItalic1"/>
            <w:rFonts w:eastAsia="Arial Unicode MS"/>
            <w:lang w:val="ro-RO"/>
          </w:rPr>
          <w:t>German</w:t>
        </w:r>
        <w:r>
          <w:rPr>
            <w:rStyle w:val="FootnoteItalic1"/>
            <w:rFonts w:eastAsia="Arial Unicode MS"/>
            <w:lang w:val="ro-RO"/>
          </w:rPr>
          <w:t>iei</w:t>
        </w:r>
        <w:r w:rsidRPr="004075C8">
          <w:rPr>
            <w:rStyle w:val="Footnote22"/>
            <w:rFonts w:eastAsia="Arial Unicode MS"/>
            <w:lang w:val="ro-RO"/>
          </w:rPr>
          <w:t xml:space="preserve"> </w:t>
        </w:r>
      </w:hyperlink>
      <w:r w:rsidRPr="004075C8">
        <w:rPr>
          <w:lang w:val="ro-RO"/>
        </w:rPr>
        <w:t>(13710/88), 1992, §37, CEDO,</w:t>
      </w:r>
      <w:hyperlink r:id="rId26" w:history="1">
        <w:r w:rsidRPr="004075C8">
          <w:rPr>
            <w:lang w:val="ro-RO"/>
          </w:rPr>
          <w:t xml:space="preserve"> </w:t>
        </w:r>
        <w:r w:rsidRPr="004075C8">
          <w:rPr>
            <w:rStyle w:val="FootnoteItalic1"/>
            <w:rFonts w:eastAsia="Arial Unicode MS"/>
            <w:lang w:val="ro-RO"/>
          </w:rPr>
          <w:t>Matheron</w:t>
        </w:r>
        <w:r w:rsidRPr="00EF0D9B">
          <w:t xml:space="preserve"> </w:t>
        </w:r>
        <w:r w:rsidRPr="00EF0D9B">
          <w:rPr>
            <w:rStyle w:val="FootnoteItalic1"/>
            <w:rFonts w:eastAsia="Arial Unicode MS"/>
            <w:lang w:val="ro-RO"/>
          </w:rPr>
          <w:t xml:space="preserve">împotriva </w:t>
        </w:r>
        <w:r w:rsidRPr="004075C8">
          <w:rPr>
            <w:rStyle w:val="FootnoteItalic1"/>
            <w:rFonts w:eastAsia="Arial Unicode MS"/>
            <w:lang w:val="ro-RO"/>
          </w:rPr>
          <w:t>Fran</w:t>
        </w:r>
        <w:r>
          <w:rPr>
            <w:rStyle w:val="FootnoteItalic1"/>
            <w:rFonts w:eastAsia="Arial Unicode MS"/>
            <w:lang w:val="ro-RO"/>
          </w:rPr>
          <w:t>ţei</w:t>
        </w:r>
        <w:r w:rsidRPr="004075C8">
          <w:rPr>
            <w:rStyle w:val="Footnote22"/>
            <w:rFonts w:eastAsia="Arial Unicode MS"/>
            <w:lang w:val="ro-RO"/>
          </w:rPr>
          <w:t xml:space="preserve"> </w:t>
        </w:r>
      </w:hyperlink>
      <w:r w:rsidRPr="004075C8">
        <w:rPr>
          <w:lang w:val="ro-RO"/>
        </w:rPr>
        <w:t xml:space="preserve">(57752/00), 2005, §36-43, </w:t>
      </w:r>
      <w:r>
        <w:rPr>
          <w:lang w:val="ro-RO"/>
        </w:rPr>
        <w:t>ş</w:t>
      </w:r>
      <w:r w:rsidRPr="004075C8">
        <w:rPr>
          <w:lang w:val="ro-RO"/>
        </w:rPr>
        <w:t xml:space="preserve">i CEDO, </w:t>
      </w:r>
      <w:r>
        <w:rPr>
          <w:rStyle w:val="FootnoteItalic1"/>
          <w:rFonts w:eastAsia="Arial Unicode MS"/>
          <w:lang w:val="ro-RO"/>
        </w:rPr>
        <w:t>Pruteanu</w:t>
      </w:r>
      <w:r w:rsidRPr="00EF0D9B">
        <w:t xml:space="preserve"> </w:t>
      </w:r>
      <w:r w:rsidRPr="00EF0D9B">
        <w:rPr>
          <w:rStyle w:val="FootnoteItalic1"/>
          <w:rFonts w:eastAsia="Arial Unicode MS"/>
          <w:lang w:val="ro-RO"/>
        </w:rPr>
        <w:t xml:space="preserve">împotriva </w:t>
      </w:r>
      <w:r w:rsidRPr="004075C8">
        <w:rPr>
          <w:rStyle w:val="FootnoteItalic1"/>
          <w:rFonts w:eastAsia="Arial Unicode MS"/>
          <w:lang w:val="ro-RO"/>
        </w:rPr>
        <w:t>Români</w:t>
      </w:r>
      <w:r>
        <w:rPr>
          <w:rStyle w:val="FootnoteItalic1"/>
          <w:rFonts w:eastAsia="Arial Unicode MS"/>
          <w:lang w:val="ro-RO"/>
        </w:rPr>
        <w:t>ei</w:t>
      </w:r>
      <w:r w:rsidRPr="004075C8">
        <w:rPr>
          <w:lang w:val="ro-RO"/>
        </w:rPr>
        <w:t xml:space="preserve"> (30181/05), 2015, §49.</w:t>
      </w:r>
    </w:p>
  </w:footnote>
  <w:footnote w:id="26">
    <w:p w:rsidR="006660B9" w:rsidRDefault="006660B9" w:rsidP="00D71D7F">
      <w:pPr>
        <w:pStyle w:val="Footnote1"/>
        <w:shd w:val="clear" w:color="auto" w:fill="auto"/>
        <w:tabs>
          <w:tab w:val="left" w:pos="284"/>
          <w:tab w:val="left" w:pos="1273"/>
        </w:tabs>
        <w:spacing w:line="192" w:lineRule="exact"/>
        <w:ind w:firstLine="0"/>
      </w:pPr>
      <w:r w:rsidRPr="004075C8">
        <w:rPr>
          <w:vertAlign w:val="superscript"/>
          <w:lang w:val="ro-RO"/>
        </w:rPr>
        <w:footnoteRef/>
      </w:r>
      <w:r w:rsidRPr="004075C8">
        <w:rPr>
          <w:lang w:val="ro-RO"/>
        </w:rPr>
        <w:tab/>
        <w:t>CEDO,</w:t>
      </w:r>
      <w:hyperlink r:id="rId27" w:history="1">
        <w:r w:rsidRPr="004075C8">
          <w:rPr>
            <w:lang w:val="ro-RO"/>
          </w:rPr>
          <w:t xml:space="preserve"> </w:t>
        </w:r>
        <w:r w:rsidRPr="004075C8">
          <w:rPr>
            <w:rStyle w:val="FootnoteItalic1"/>
            <w:rFonts w:eastAsia="Arial Unicode MS"/>
            <w:lang w:val="ro-RO"/>
          </w:rPr>
          <w:t>R.E</w:t>
        </w:r>
        <w:r w:rsidRPr="00EF0D9B">
          <w:t xml:space="preserve"> </w:t>
        </w:r>
        <w:r w:rsidRPr="00EF0D9B">
          <w:rPr>
            <w:rStyle w:val="FootnoteItalic1"/>
            <w:rFonts w:eastAsia="Arial Unicode MS"/>
            <w:lang w:val="ro-RO"/>
          </w:rPr>
          <w:t xml:space="preserve">împotriva </w:t>
        </w:r>
        <w:r w:rsidRPr="004075C8">
          <w:rPr>
            <w:rStyle w:val="FootnoteItalic1"/>
            <w:rFonts w:eastAsia="Arial Unicode MS"/>
            <w:lang w:val="ro-RO"/>
          </w:rPr>
          <w:t xml:space="preserve">Regatul Unit </w:t>
        </w:r>
      </w:hyperlink>
      <w:r w:rsidRPr="004075C8">
        <w:rPr>
          <w:lang w:val="ro-RO"/>
        </w:rPr>
        <w:t>(62498/11), 2015, §131.</w:t>
      </w:r>
    </w:p>
  </w:footnote>
  <w:footnote w:id="27">
    <w:p w:rsidR="006660B9" w:rsidRDefault="006660B9" w:rsidP="00D71D7F">
      <w:pPr>
        <w:pStyle w:val="Footnote1"/>
        <w:shd w:val="clear" w:color="auto" w:fill="auto"/>
        <w:tabs>
          <w:tab w:val="left" w:pos="284"/>
          <w:tab w:val="left" w:pos="1273"/>
        </w:tabs>
        <w:spacing w:line="192" w:lineRule="exact"/>
        <w:ind w:firstLine="0"/>
      </w:pPr>
      <w:r w:rsidRPr="004075C8">
        <w:rPr>
          <w:vertAlign w:val="superscript"/>
          <w:lang w:val="ro-RO"/>
        </w:rPr>
        <w:footnoteRef/>
      </w:r>
      <w:r w:rsidRPr="004075C8">
        <w:rPr>
          <w:lang w:val="ro-RO"/>
        </w:rPr>
        <w:tab/>
        <w:t>CEDO,</w:t>
      </w:r>
      <w:hyperlink r:id="rId28" w:history="1">
        <w:r w:rsidRPr="004075C8">
          <w:rPr>
            <w:lang w:val="ro-RO"/>
          </w:rPr>
          <w:t xml:space="preserve"> </w:t>
        </w:r>
        <w:r>
          <w:rPr>
            <w:rStyle w:val="FootnoteItalic1"/>
            <w:rFonts w:eastAsia="Arial Unicode MS"/>
            <w:lang w:val="ro-RO"/>
          </w:rPr>
          <w:t>Uzun</w:t>
        </w:r>
        <w:r w:rsidRPr="00EF0D9B">
          <w:rPr>
            <w:rStyle w:val="FootnoteItalic1"/>
            <w:rFonts w:eastAsia="Arial Unicode MS"/>
            <w:lang w:val="ro-RO"/>
          </w:rPr>
          <w:t xml:space="preserve"> împotriva </w:t>
        </w:r>
        <w:r w:rsidRPr="004075C8">
          <w:rPr>
            <w:rStyle w:val="FootnoteItalic1"/>
            <w:rFonts w:eastAsia="Arial Unicode MS"/>
            <w:lang w:val="ro-RO"/>
          </w:rPr>
          <w:t>Germani</w:t>
        </w:r>
        <w:r>
          <w:rPr>
            <w:rStyle w:val="FootnoteItalic1"/>
            <w:rFonts w:eastAsia="Arial Unicode MS"/>
            <w:lang w:val="ro-RO"/>
          </w:rPr>
          <w:t>ei</w:t>
        </w:r>
        <w:r w:rsidRPr="004075C8">
          <w:rPr>
            <w:rStyle w:val="Footnote22"/>
            <w:rFonts w:eastAsia="Arial Unicode MS"/>
            <w:lang w:val="ro-RO"/>
          </w:rPr>
          <w:t xml:space="preserve"> </w:t>
        </w:r>
      </w:hyperlink>
      <w:r w:rsidRPr="004075C8">
        <w:rPr>
          <w:lang w:val="ro-RO"/>
        </w:rPr>
        <w:t>(35623/05), 2010.</w:t>
      </w:r>
    </w:p>
  </w:footnote>
  <w:footnote w:id="28">
    <w:p w:rsidR="006660B9" w:rsidRDefault="006660B9" w:rsidP="00D71D7F">
      <w:pPr>
        <w:pStyle w:val="Footnote1"/>
        <w:shd w:val="clear" w:color="auto" w:fill="auto"/>
        <w:tabs>
          <w:tab w:val="left" w:pos="284"/>
          <w:tab w:val="left" w:pos="1273"/>
        </w:tabs>
        <w:spacing w:line="192" w:lineRule="exact"/>
        <w:ind w:firstLine="0"/>
      </w:pPr>
      <w:r w:rsidRPr="004075C8">
        <w:rPr>
          <w:vertAlign w:val="superscript"/>
          <w:lang w:val="ro-RO"/>
        </w:rPr>
        <w:footnoteRef/>
      </w:r>
      <w:r w:rsidRPr="004075C8">
        <w:rPr>
          <w:lang w:val="ro-RO"/>
        </w:rPr>
        <w:tab/>
        <w:t>CEDO,</w:t>
      </w:r>
      <w:hyperlink r:id="rId29" w:history="1">
        <w:r w:rsidRPr="004075C8">
          <w:rPr>
            <w:lang w:val="ro-RO"/>
          </w:rPr>
          <w:t xml:space="preserve"> </w:t>
        </w:r>
        <w:r>
          <w:rPr>
            <w:rStyle w:val="FootnoteItalic1"/>
            <w:rFonts w:eastAsia="Arial Unicode MS"/>
            <w:lang w:val="ro-RO"/>
          </w:rPr>
          <w:t>Bykov</w:t>
        </w:r>
        <w:r w:rsidRPr="00EF0D9B">
          <w:rPr>
            <w:rStyle w:val="FootnoteItalic1"/>
            <w:rFonts w:eastAsia="Arial Unicode MS"/>
            <w:lang w:val="ro-RO"/>
          </w:rPr>
          <w:t xml:space="preserve"> împotriva </w:t>
        </w:r>
        <w:r w:rsidRPr="004075C8">
          <w:rPr>
            <w:rStyle w:val="FootnoteItalic1"/>
            <w:rFonts w:eastAsia="Arial Unicode MS"/>
            <w:lang w:val="ro-RO"/>
          </w:rPr>
          <w:t>Rusi</w:t>
        </w:r>
        <w:r>
          <w:rPr>
            <w:rStyle w:val="FootnoteItalic1"/>
            <w:rFonts w:eastAsia="Arial Unicode MS"/>
            <w:lang w:val="ro-RO"/>
          </w:rPr>
          <w:t>ei</w:t>
        </w:r>
        <w:r w:rsidRPr="004075C8">
          <w:rPr>
            <w:rStyle w:val="Footnote22"/>
            <w:rFonts w:eastAsia="Arial Unicode MS"/>
            <w:lang w:val="ro-RO"/>
          </w:rPr>
          <w:t xml:space="preserve"> </w:t>
        </w:r>
      </w:hyperlink>
      <w:r w:rsidRPr="004075C8">
        <w:rPr>
          <w:lang w:val="ro-RO"/>
        </w:rPr>
        <w:t>(4378/02), 2009.</w:t>
      </w:r>
    </w:p>
  </w:footnote>
  <w:footnote w:id="29">
    <w:p w:rsidR="006660B9" w:rsidRDefault="006660B9" w:rsidP="00D71D7F">
      <w:pPr>
        <w:pStyle w:val="Footnote1"/>
        <w:shd w:val="clear" w:color="auto" w:fill="auto"/>
        <w:tabs>
          <w:tab w:val="left" w:pos="1258"/>
        </w:tabs>
        <w:ind w:left="360" w:hanging="360"/>
      </w:pPr>
      <w:r w:rsidRPr="004075C8">
        <w:rPr>
          <w:vertAlign w:val="superscript"/>
          <w:lang w:val="ro-RO"/>
        </w:rPr>
        <w:footnoteRef/>
      </w:r>
      <w:r w:rsidRPr="004075C8">
        <w:rPr>
          <w:lang w:val="ro-RO"/>
        </w:rPr>
        <w:tab/>
        <w:t>După cum s-a indicat mai sus, comunicările vizând punerea la cale a unei activită</w:t>
      </w:r>
      <w:r>
        <w:rPr>
          <w:lang w:val="ro-RO"/>
        </w:rPr>
        <w:t>ţ</w:t>
      </w:r>
      <w:r w:rsidRPr="004075C8">
        <w:rPr>
          <w:lang w:val="ro-RO"/>
        </w:rPr>
        <w:t>i infrac</w:t>
      </w:r>
      <w:r>
        <w:rPr>
          <w:lang w:val="ro-RO"/>
        </w:rPr>
        <w:t>ţ</w:t>
      </w:r>
      <w:r w:rsidRPr="004075C8">
        <w:rPr>
          <w:lang w:val="ro-RO"/>
        </w:rPr>
        <w:t>ionale nu intră nici sub inciden</w:t>
      </w:r>
      <w:r>
        <w:rPr>
          <w:lang w:val="ro-RO"/>
        </w:rPr>
        <w:t>ţ</w:t>
      </w:r>
      <w:r w:rsidRPr="004075C8">
        <w:rPr>
          <w:lang w:val="ro-RO"/>
        </w:rPr>
        <w:t>a privilegiului profesiei juridice, nici a secretului profesional.</w:t>
      </w:r>
    </w:p>
  </w:footnote>
  <w:footnote w:id="30">
    <w:p w:rsidR="006660B9" w:rsidRDefault="006660B9" w:rsidP="00D71D7F">
      <w:pPr>
        <w:pStyle w:val="Footnote21"/>
        <w:shd w:val="clear" w:color="auto" w:fill="auto"/>
        <w:tabs>
          <w:tab w:val="left" w:pos="1268"/>
        </w:tabs>
        <w:spacing w:line="182" w:lineRule="exact"/>
        <w:ind w:left="360" w:hanging="36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Comisia de la Vene</w:t>
      </w:r>
      <w:r>
        <w:rPr>
          <w:rStyle w:val="Footnote2NotItalic"/>
          <w:rFonts w:eastAsia="Arial Unicode MS"/>
          <w:lang w:val="ro-RO"/>
        </w:rPr>
        <w:t>ţ</w:t>
      </w:r>
      <w:r w:rsidRPr="004075C8">
        <w:rPr>
          <w:rStyle w:val="Footnote2NotItalic"/>
          <w:rFonts w:eastAsia="Arial Unicode MS"/>
          <w:lang w:val="ro-RO"/>
        </w:rPr>
        <w:t>ia a Consiliului Europei, '</w:t>
      </w:r>
      <w:r w:rsidRPr="004075C8">
        <w:rPr>
          <w:rStyle w:val="Footnote2NotItalic1"/>
          <w:rFonts w:eastAsia="Arial Unicode MS"/>
          <w:lang w:val="ro-RO"/>
        </w:rPr>
        <w:t xml:space="preserve">Actualizarea Raportului din 2007 privind supravegherea democratică a serviciilor de securitate </w:t>
      </w:r>
      <w:r>
        <w:rPr>
          <w:rStyle w:val="Footnote2NotItalic1"/>
          <w:rFonts w:eastAsia="Arial Unicode MS"/>
          <w:lang w:val="ro-RO"/>
        </w:rPr>
        <w:t>ş</w:t>
      </w:r>
      <w:r w:rsidRPr="004075C8">
        <w:rPr>
          <w:rStyle w:val="Footnote2NotItalic1"/>
          <w:rFonts w:eastAsia="Arial Unicode MS"/>
          <w:lang w:val="ro-RO"/>
        </w:rPr>
        <w:t>i a Raportului privind supravegherea democratică serviciilor de informa</w:t>
      </w:r>
      <w:r>
        <w:rPr>
          <w:rStyle w:val="Footnote2NotItalic1"/>
          <w:rFonts w:eastAsia="Arial Unicode MS"/>
          <w:lang w:val="ro-RO"/>
        </w:rPr>
        <w:t>ţ</w:t>
      </w:r>
      <w:r w:rsidRPr="004075C8">
        <w:rPr>
          <w:rStyle w:val="Footnote2NotItalic1"/>
          <w:rFonts w:eastAsia="Arial Unicode MS"/>
          <w:lang w:val="ro-RO"/>
        </w:rPr>
        <w:t>ii care folosesc interceptarea semnalelor</w:t>
      </w:r>
      <w:hyperlink r:id="rId30" w:history="1">
        <w:r w:rsidRPr="004075C8">
          <w:rPr>
            <w:rStyle w:val="Footnote2NotItalic1"/>
            <w:rFonts w:eastAsia="Arial Unicode MS"/>
            <w:lang w:val="ro-RO"/>
          </w:rPr>
          <w:t>'</w:t>
        </w:r>
        <w:r w:rsidRPr="004075C8">
          <w:rPr>
            <w:rStyle w:val="Footnote2NotItalic"/>
            <w:rFonts w:eastAsia="Arial Unicode MS"/>
            <w:lang w:val="ro-RO"/>
          </w:rPr>
          <w:t xml:space="preserve">, </w:t>
        </w:r>
      </w:hyperlink>
      <w:r w:rsidRPr="004075C8">
        <w:rPr>
          <w:rStyle w:val="Footnote2NotItalic"/>
          <w:rFonts w:eastAsia="Arial Unicode MS"/>
          <w:lang w:val="ro-RO"/>
        </w:rPr>
        <w:t xml:space="preserve">2015, pagina 18: </w:t>
      </w:r>
      <w:r w:rsidRPr="004075C8">
        <w:rPr>
          <w:lang w:val="ro-RO"/>
        </w:rPr>
        <w:t>“Majoritatea statelor democratice, recunoscând impactul pe care îl are supravegherea strategică asupra drepturilor omului, au inclus cel puţin o parte a mandatului funcţiei de semnalare a serviciilor de informaţii în legisla</w:t>
      </w:r>
      <w:r>
        <w:rPr>
          <w:lang w:val="ro-RO"/>
        </w:rPr>
        <w:t>ţ</w:t>
      </w:r>
      <w:r w:rsidRPr="004075C8">
        <w:rPr>
          <w:lang w:val="ro-RO"/>
        </w:rPr>
        <w:t xml:space="preserve">ia primară. [Aceasta] este </w:t>
      </w:r>
      <w:r>
        <w:rPr>
          <w:lang w:val="ro-RO"/>
        </w:rPr>
        <w:t>ş</w:t>
      </w:r>
      <w:r w:rsidRPr="004075C8">
        <w:rPr>
          <w:lang w:val="ro-RO"/>
        </w:rPr>
        <w:t>i o cerin</w:t>
      </w:r>
      <w:r>
        <w:rPr>
          <w:lang w:val="ro-RO"/>
        </w:rPr>
        <w:t>ţ</w:t>
      </w:r>
      <w:r w:rsidRPr="004075C8">
        <w:rPr>
          <w:lang w:val="ro-RO"/>
        </w:rPr>
        <w:t>ă a CEDO."</w:t>
      </w:r>
    </w:p>
  </w:footnote>
  <w:footnote w:id="31">
    <w:p w:rsidR="006660B9" w:rsidRDefault="006660B9" w:rsidP="00D71D7F">
      <w:pPr>
        <w:pStyle w:val="Footnote1"/>
        <w:shd w:val="clear" w:color="auto" w:fill="auto"/>
        <w:tabs>
          <w:tab w:val="left" w:pos="284"/>
        </w:tabs>
        <w:spacing w:line="160" w:lineRule="exact"/>
        <w:ind w:firstLine="0"/>
      </w:pPr>
      <w:r w:rsidRPr="004075C8">
        <w:rPr>
          <w:vertAlign w:val="superscript"/>
          <w:lang w:val="ro-RO"/>
        </w:rPr>
        <w:footnoteRef/>
      </w:r>
      <w:r w:rsidRPr="004075C8">
        <w:rPr>
          <w:lang w:val="ro-RO"/>
        </w:rPr>
        <w:tab/>
        <w:t>Camera Lorzilor,</w:t>
      </w:r>
      <w:hyperlink r:id="rId31" w:history="1">
        <w:r w:rsidRPr="004075C8">
          <w:rPr>
            <w:lang w:val="ro-RO"/>
          </w:rPr>
          <w:t xml:space="preserve"> </w:t>
        </w:r>
        <w:r w:rsidRPr="004075C8">
          <w:rPr>
            <w:rStyle w:val="FootnoteItalic1"/>
            <w:rFonts w:eastAsia="Arial Unicode MS"/>
            <w:lang w:val="ro-RO"/>
          </w:rPr>
          <w:t>RE McE</w:t>
        </w:r>
        <w:r w:rsidRPr="004075C8">
          <w:rPr>
            <w:rStyle w:val="FootnoteItalic"/>
            <w:rFonts w:eastAsia="Arial Unicode MS"/>
            <w:lang w:val="ro-RO"/>
          </w:rPr>
          <w:t>,</w:t>
        </w:r>
        <w:r w:rsidRPr="004075C8">
          <w:rPr>
            <w:lang w:val="ro-RO"/>
          </w:rPr>
          <w:t xml:space="preserve"> </w:t>
        </w:r>
      </w:hyperlink>
      <w:r w:rsidRPr="004075C8">
        <w:rPr>
          <w:lang w:val="ro-RO"/>
        </w:rPr>
        <w:t>2009, UKHL 15.</w:t>
      </w:r>
    </w:p>
  </w:footnote>
  <w:footnote w:id="32">
    <w:p w:rsidR="006660B9" w:rsidRDefault="006660B9" w:rsidP="00D71D7F">
      <w:pPr>
        <w:pStyle w:val="Footnote1"/>
        <w:shd w:val="clear" w:color="auto" w:fill="auto"/>
        <w:tabs>
          <w:tab w:val="left" w:pos="284"/>
        </w:tabs>
        <w:spacing w:line="245" w:lineRule="exact"/>
        <w:ind w:firstLine="0"/>
      </w:pPr>
      <w:r w:rsidRPr="004075C8">
        <w:rPr>
          <w:vertAlign w:val="superscript"/>
          <w:lang w:val="ro-RO"/>
        </w:rPr>
        <w:footnoteRef/>
      </w:r>
      <w:r w:rsidRPr="004075C8">
        <w:rPr>
          <w:lang w:val="ro-RO"/>
        </w:rPr>
        <w:tab/>
        <w:t>Ibid.</w:t>
      </w:r>
    </w:p>
  </w:footnote>
  <w:footnote w:id="33">
    <w:p w:rsidR="006660B9" w:rsidRDefault="006660B9" w:rsidP="00D71D7F">
      <w:pPr>
        <w:pStyle w:val="Footnote1"/>
        <w:shd w:val="clear" w:color="auto" w:fill="auto"/>
        <w:tabs>
          <w:tab w:val="left" w:pos="284"/>
        </w:tabs>
        <w:spacing w:line="245" w:lineRule="exact"/>
        <w:ind w:firstLine="0"/>
      </w:pPr>
      <w:r w:rsidRPr="004075C8">
        <w:rPr>
          <w:vertAlign w:val="superscript"/>
          <w:lang w:val="ro-RO"/>
        </w:rPr>
        <w:footnoteRef/>
      </w:r>
      <w:r w:rsidRPr="004075C8">
        <w:rPr>
          <w:lang w:val="ro-RO"/>
        </w:rPr>
        <w:tab/>
        <w:t>Ibid.</w:t>
      </w:r>
    </w:p>
  </w:footnote>
  <w:footnote w:id="34">
    <w:p w:rsidR="006660B9" w:rsidRDefault="006660B9" w:rsidP="00D71D7F">
      <w:pPr>
        <w:pStyle w:val="Footnote1"/>
        <w:shd w:val="clear" w:color="auto" w:fill="auto"/>
        <w:tabs>
          <w:tab w:val="left" w:pos="284"/>
        </w:tabs>
        <w:spacing w:line="245" w:lineRule="exact"/>
        <w:ind w:firstLine="0"/>
      </w:pPr>
      <w:r w:rsidRPr="004075C8">
        <w:rPr>
          <w:vertAlign w:val="superscript"/>
          <w:lang w:val="ro-RO"/>
        </w:rPr>
        <w:footnoteRef/>
      </w:r>
      <w:r w:rsidRPr="004075C8">
        <w:rPr>
          <w:lang w:val="ro-RO"/>
        </w:rPr>
        <w:tab/>
        <w:t>Ibid.</w:t>
      </w:r>
    </w:p>
  </w:footnote>
  <w:footnote w:id="35">
    <w:p w:rsidR="006660B9" w:rsidRDefault="006660B9" w:rsidP="00D71D7F">
      <w:pPr>
        <w:pStyle w:val="Footnote21"/>
        <w:shd w:val="clear" w:color="auto" w:fill="auto"/>
        <w:spacing w:line="160" w:lineRule="exact"/>
        <w:ind w:firstLine="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 xml:space="preserve"> Curtea de Apel din Haga, </w:t>
      </w:r>
      <w:r w:rsidRPr="004075C8">
        <w:rPr>
          <w:lang w:val="ro-RO"/>
        </w:rPr>
        <w:t xml:space="preserve">Prakken D'Oliveira </w:t>
      </w:r>
      <w:r>
        <w:rPr>
          <w:lang w:val="ro-RO"/>
        </w:rPr>
        <w:t>ş</w:t>
      </w:r>
      <w:r w:rsidRPr="004075C8">
        <w:rPr>
          <w:lang w:val="ro-RO"/>
        </w:rPr>
        <w:t>i al</w:t>
      </w:r>
      <w:r>
        <w:rPr>
          <w:lang w:val="ro-RO"/>
        </w:rPr>
        <w:t>ţ</w:t>
      </w:r>
      <w:r w:rsidRPr="004075C8">
        <w:rPr>
          <w:lang w:val="ro-RO"/>
        </w:rPr>
        <w:t>ii împotriva Olandei,</w:t>
      </w:r>
      <w:r w:rsidRPr="004075C8">
        <w:rPr>
          <w:rStyle w:val="Footnote2NotItalic"/>
          <w:rFonts w:eastAsia="Arial Unicode MS"/>
          <w:lang w:val="ro-RO"/>
        </w:rPr>
        <w:t xml:space="preserve"> n. 200 174 280/01,2015.</w:t>
      </w:r>
    </w:p>
  </w:footnote>
  <w:footnote w:id="36">
    <w:p w:rsidR="006660B9" w:rsidRDefault="006660B9" w:rsidP="00D71D7F">
      <w:pPr>
        <w:pStyle w:val="Footnote1"/>
        <w:shd w:val="clear" w:color="auto" w:fill="auto"/>
        <w:tabs>
          <w:tab w:val="left" w:pos="1273"/>
        </w:tabs>
        <w:ind w:left="360" w:hanging="360"/>
      </w:pPr>
      <w:r w:rsidRPr="004075C8">
        <w:rPr>
          <w:vertAlign w:val="superscript"/>
          <w:lang w:val="ro-RO"/>
        </w:rPr>
        <w:footnoteRef/>
      </w:r>
      <w:r w:rsidRPr="004075C8">
        <w:rPr>
          <w:lang w:val="ro-RO"/>
        </w:rPr>
        <w:tab/>
        <w:t xml:space="preserve">Raportul </w:t>
      </w:r>
      <w:r>
        <w:rPr>
          <w:lang w:val="ro-RO"/>
        </w:rPr>
        <w:t>ş</w:t>
      </w:r>
      <w:r w:rsidRPr="004075C8">
        <w:rPr>
          <w:lang w:val="ro-RO"/>
        </w:rPr>
        <w:t>i Recomandările pre</w:t>
      </w:r>
      <w:r>
        <w:rPr>
          <w:lang w:val="ro-RO"/>
        </w:rPr>
        <w:t>ş</w:t>
      </w:r>
      <w:r w:rsidRPr="004075C8">
        <w:rPr>
          <w:lang w:val="ro-RO"/>
        </w:rPr>
        <w:t>edintelui Grupului de analiză a informa</w:t>
      </w:r>
      <w:r>
        <w:rPr>
          <w:lang w:val="ro-RO"/>
        </w:rPr>
        <w:t>ţ</w:t>
      </w:r>
      <w:r w:rsidRPr="004075C8">
        <w:rPr>
          <w:lang w:val="ro-RO"/>
        </w:rPr>
        <w:t xml:space="preserve">iilor </w:t>
      </w:r>
      <w:r>
        <w:rPr>
          <w:lang w:val="ro-RO"/>
        </w:rPr>
        <w:t>ş</w:t>
      </w:r>
      <w:r w:rsidRPr="004075C8">
        <w:rPr>
          <w:lang w:val="ro-RO"/>
        </w:rPr>
        <w:t>i tehnologiei comunica</w:t>
      </w:r>
      <w:r>
        <w:rPr>
          <w:lang w:val="ro-RO"/>
        </w:rPr>
        <w:t>ţ</w:t>
      </w:r>
      <w:r w:rsidRPr="004075C8">
        <w:rPr>
          <w:lang w:val="ro-RO"/>
        </w:rPr>
        <w:t xml:space="preserve">iilor din SUA, </w:t>
      </w:r>
      <w:hyperlink r:id="rId32" w:history="1">
        <w:r w:rsidRPr="004075C8">
          <w:rPr>
            <w:lang w:val="ro-RO"/>
          </w:rPr>
          <w:t>'</w:t>
        </w:r>
        <w:r w:rsidRPr="004075C8">
          <w:rPr>
            <w:rStyle w:val="Footnote0"/>
            <w:rFonts w:eastAsia="Arial Unicode MS"/>
            <w:lang w:val="ro-RO"/>
          </w:rPr>
          <w:t xml:space="preserve">Libertate </w:t>
        </w:r>
        <w:r>
          <w:rPr>
            <w:rStyle w:val="Footnote0"/>
            <w:rFonts w:eastAsia="Arial Unicode MS"/>
            <w:lang w:val="ro-RO"/>
          </w:rPr>
          <w:t>ş</w:t>
        </w:r>
        <w:r w:rsidRPr="004075C8">
          <w:rPr>
            <w:rStyle w:val="Footnote0"/>
            <w:rFonts w:eastAsia="Arial Unicode MS"/>
            <w:lang w:val="ro-RO"/>
          </w:rPr>
          <w:t>i securitate într-o lume în schimbare’</w:t>
        </w:r>
        <w:r w:rsidRPr="004075C8">
          <w:rPr>
            <w:lang w:val="ro-RO"/>
          </w:rPr>
          <w:t xml:space="preserve">, </w:t>
        </w:r>
      </w:hyperlink>
      <w:r w:rsidRPr="004075C8">
        <w:rPr>
          <w:lang w:val="ro-RO"/>
        </w:rPr>
        <w:t xml:space="preserve">2013: </w:t>
      </w:r>
      <w:r w:rsidRPr="004075C8">
        <w:rPr>
          <w:rStyle w:val="FootnoteItalic"/>
          <w:rFonts w:eastAsia="Arial Unicode MS"/>
          <w:lang w:val="ro-RO"/>
        </w:rPr>
        <w:t>“Americanii nu trebuie niciodată să facă gre</w:t>
      </w:r>
      <w:r>
        <w:rPr>
          <w:rStyle w:val="FootnoteItalic"/>
          <w:rFonts w:eastAsia="Arial Unicode MS"/>
          <w:lang w:val="ro-RO"/>
        </w:rPr>
        <w:t>ş</w:t>
      </w:r>
      <w:r w:rsidRPr="004075C8">
        <w:rPr>
          <w:rStyle w:val="FootnoteItalic"/>
          <w:rFonts w:eastAsia="Arial Unicode MS"/>
          <w:lang w:val="ro-RO"/>
        </w:rPr>
        <w:t>eala de a “avea încredere" deplină în func</w:t>
      </w:r>
      <w:r>
        <w:rPr>
          <w:rStyle w:val="FootnoteItalic"/>
          <w:rFonts w:eastAsia="Arial Unicode MS"/>
          <w:lang w:val="ro-RO"/>
        </w:rPr>
        <w:t>ţ</w:t>
      </w:r>
      <w:r w:rsidRPr="004075C8">
        <w:rPr>
          <w:rStyle w:val="FootnoteItalic"/>
          <w:rFonts w:eastAsia="Arial Unicode MS"/>
          <w:lang w:val="ro-RO"/>
        </w:rPr>
        <w:t>ionarii no</w:t>
      </w:r>
      <w:r>
        <w:rPr>
          <w:rStyle w:val="FootnoteItalic"/>
          <w:rFonts w:eastAsia="Arial Unicode MS"/>
          <w:lang w:val="ro-RO"/>
        </w:rPr>
        <w:t>ş</w:t>
      </w:r>
      <w:r w:rsidRPr="004075C8">
        <w:rPr>
          <w:rStyle w:val="FootnoteItalic"/>
          <w:rFonts w:eastAsia="Arial Unicode MS"/>
          <w:lang w:val="ro-RO"/>
        </w:rPr>
        <w:t>tri publici.",</w:t>
      </w:r>
      <w:r w:rsidRPr="004075C8">
        <w:rPr>
          <w:lang w:val="ro-RO"/>
        </w:rPr>
        <w:t xml:space="preserve"> pagina 118. A se vedea, de asemenea, Comisia de la Vene</w:t>
      </w:r>
      <w:r>
        <w:rPr>
          <w:lang w:val="ro-RO"/>
        </w:rPr>
        <w:t>ţ</w:t>
      </w:r>
      <w:r w:rsidRPr="004075C8">
        <w:rPr>
          <w:lang w:val="ro-RO"/>
        </w:rPr>
        <w:t>ia,</w:t>
      </w:r>
      <w:hyperlink r:id="rId33" w:history="1">
        <w:r w:rsidRPr="004075C8">
          <w:rPr>
            <w:lang w:val="ro-RO"/>
          </w:rPr>
          <w:t xml:space="preserve"> '</w:t>
        </w:r>
        <w:r w:rsidRPr="004075C8">
          <w:rPr>
            <w:rStyle w:val="Footnote0"/>
            <w:rFonts w:eastAsia="Arial Unicode MS"/>
            <w:lang w:val="ro-RO"/>
          </w:rPr>
          <w:t xml:space="preserve">Actualizarea Raportului din 2007 privind supravegherea democratică a serviciilor de securitate </w:t>
        </w:r>
        <w:r>
          <w:rPr>
            <w:rStyle w:val="Footnote0"/>
            <w:rFonts w:eastAsia="Arial Unicode MS"/>
            <w:lang w:val="ro-RO"/>
          </w:rPr>
          <w:t>ş</w:t>
        </w:r>
        <w:r w:rsidRPr="004075C8">
          <w:rPr>
            <w:rStyle w:val="Footnote0"/>
            <w:rFonts w:eastAsia="Arial Unicode MS"/>
            <w:lang w:val="ro-RO"/>
          </w:rPr>
          <w:t>i a Raportului privind supravegherea de</w:t>
        </w:r>
        <w:r>
          <w:rPr>
            <w:rStyle w:val="Footnote0"/>
            <w:rFonts w:eastAsia="Arial Unicode MS"/>
            <w:lang w:val="ro-RO"/>
          </w:rPr>
          <w:t>mocratică a serviciilor de infor</w:t>
        </w:r>
        <w:r w:rsidRPr="004075C8">
          <w:rPr>
            <w:rStyle w:val="Footnote0"/>
            <w:rFonts w:eastAsia="Arial Unicode MS"/>
            <w:lang w:val="ro-RO"/>
          </w:rPr>
          <w:t>ma</w:t>
        </w:r>
        <w:r>
          <w:rPr>
            <w:rStyle w:val="Footnote0"/>
            <w:rFonts w:eastAsia="Arial Unicode MS"/>
            <w:lang w:val="ro-RO"/>
          </w:rPr>
          <w:t>ţ</w:t>
        </w:r>
        <w:r w:rsidRPr="004075C8">
          <w:rPr>
            <w:rStyle w:val="Footnote0"/>
            <w:rFonts w:eastAsia="Arial Unicode MS"/>
            <w:lang w:val="ro-RO"/>
          </w:rPr>
          <w:t xml:space="preserve">ii </w:t>
        </w:r>
      </w:hyperlink>
      <w:hyperlink r:id="rId34" w:history="1">
        <w:r w:rsidRPr="004075C8">
          <w:rPr>
            <w:rStyle w:val="Footnote0"/>
            <w:rFonts w:eastAsia="Arial Unicode MS"/>
            <w:lang w:val="ro-RO"/>
          </w:rPr>
          <w:t>care folosesc interceptarea semnalelor’</w:t>
        </w:r>
        <w:r w:rsidRPr="004075C8">
          <w:rPr>
            <w:lang w:val="ro-RO"/>
          </w:rPr>
          <w:t xml:space="preserve">, </w:t>
        </w:r>
      </w:hyperlink>
      <w:r w:rsidRPr="004075C8">
        <w:rPr>
          <w:lang w:val="ro-RO"/>
        </w:rPr>
        <w:t>2015, pagina 31.</w:t>
      </w:r>
    </w:p>
  </w:footnote>
  <w:footnote w:id="37">
    <w:p w:rsidR="006660B9" w:rsidRDefault="006660B9" w:rsidP="00D71D7F">
      <w:pPr>
        <w:pStyle w:val="Footnote1"/>
        <w:shd w:val="clear" w:color="auto" w:fill="auto"/>
        <w:tabs>
          <w:tab w:val="left" w:pos="426"/>
        </w:tabs>
        <w:spacing w:line="160" w:lineRule="exact"/>
        <w:ind w:firstLine="0"/>
      </w:pPr>
      <w:r w:rsidRPr="004075C8">
        <w:rPr>
          <w:vertAlign w:val="superscript"/>
          <w:lang w:val="ro-RO"/>
        </w:rPr>
        <w:footnoteRef/>
      </w:r>
      <w:r w:rsidRPr="004075C8">
        <w:rPr>
          <w:lang w:val="ro-RO"/>
        </w:rPr>
        <w:tab/>
        <w:t>CEDO,</w:t>
      </w:r>
      <w:hyperlink r:id="rId35" w:history="1">
        <w:r w:rsidRPr="004075C8">
          <w:rPr>
            <w:lang w:val="ro-RO"/>
          </w:rPr>
          <w:t xml:space="preserve"> </w:t>
        </w:r>
        <w:r w:rsidRPr="004075C8">
          <w:rPr>
            <w:rStyle w:val="FootnoteItalic1"/>
            <w:rFonts w:eastAsia="Arial Unicode MS"/>
            <w:lang w:val="ro-RO"/>
          </w:rPr>
          <w:t xml:space="preserve">Klass </w:t>
        </w:r>
        <w:r>
          <w:rPr>
            <w:rStyle w:val="FootnoteItalic1"/>
            <w:rFonts w:eastAsia="Arial Unicode MS"/>
            <w:lang w:val="ro-RO"/>
          </w:rPr>
          <w:t>ş</w:t>
        </w:r>
        <w:r w:rsidRPr="004075C8">
          <w:rPr>
            <w:rStyle w:val="FootnoteItalic1"/>
            <w:rFonts w:eastAsia="Arial Unicode MS"/>
            <w:lang w:val="ro-RO"/>
          </w:rPr>
          <w:t>i al</w:t>
        </w:r>
        <w:r>
          <w:rPr>
            <w:rStyle w:val="FootnoteItalic1"/>
            <w:rFonts w:eastAsia="Arial Unicode MS"/>
            <w:lang w:val="ro-RO"/>
          </w:rPr>
          <w:t>ţ</w:t>
        </w:r>
        <w:r w:rsidRPr="004075C8">
          <w:rPr>
            <w:rStyle w:val="FootnoteItalic1"/>
            <w:rFonts w:eastAsia="Arial Unicode MS"/>
            <w:lang w:val="ro-RO"/>
          </w:rPr>
          <w:t>ii împotriva Germaniei</w:t>
        </w:r>
        <w:r w:rsidRPr="004075C8">
          <w:rPr>
            <w:rStyle w:val="Footnote22"/>
            <w:rFonts w:eastAsia="Arial Unicode MS"/>
            <w:lang w:val="ro-RO"/>
          </w:rPr>
          <w:t xml:space="preserve"> </w:t>
        </w:r>
      </w:hyperlink>
      <w:r w:rsidRPr="004075C8">
        <w:rPr>
          <w:lang w:val="ro-RO"/>
        </w:rPr>
        <w:t>(5029/71), 1978, §55.</w:t>
      </w:r>
    </w:p>
  </w:footnote>
  <w:footnote w:id="38">
    <w:p w:rsidR="006660B9" w:rsidRDefault="006660B9" w:rsidP="00D71D7F">
      <w:pPr>
        <w:pStyle w:val="Footnote1"/>
        <w:shd w:val="clear" w:color="auto" w:fill="auto"/>
        <w:tabs>
          <w:tab w:val="left" w:pos="284"/>
        </w:tabs>
        <w:spacing w:line="160" w:lineRule="exact"/>
        <w:ind w:firstLine="0"/>
      </w:pPr>
      <w:r w:rsidRPr="004075C8">
        <w:rPr>
          <w:vertAlign w:val="superscript"/>
          <w:lang w:val="ro-RO"/>
        </w:rPr>
        <w:footnoteRef/>
      </w:r>
      <w:r w:rsidRPr="004075C8">
        <w:rPr>
          <w:lang w:val="ro-RO"/>
        </w:rPr>
        <w:tab/>
        <w:t>Ibid., §56.</w:t>
      </w:r>
    </w:p>
  </w:footnote>
  <w:footnote w:id="39">
    <w:p w:rsidR="006660B9" w:rsidRDefault="006660B9" w:rsidP="00D71D7F">
      <w:pPr>
        <w:pStyle w:val="Footnote1"/>
        <w:shd w:val="clear" w:color="auto" w:fill="auto"/>
        <w:tabs>
          <w:tab w:val="left" w:pos="284"/>
        </w:tabs>
        <w:ind w:firstLine="0"/>
      </w:pPr>
      <w:r w:rsidRPr="004075C8">
        <w:rPr>
          <w:vertAlign w:val="superscript"/>
          <w:lang w:val="ro-RO"/>
        </w:rPr>
        <w:footnoteRef/>
      </w:r>
      <w:r w:rsidRPr="004075C8">
        <w:rPr>
          <w:lang w:val="ro-RO"/>
        </w:rPr>
        <w:tab/>
        <w:t>Comisia de la Vene</w:t>
      </w:r>
      <w:r>
        <w:rPr>
          <w:lang w:val="ro-RO"/>
        </w:rPr>
        <w:t>ţ</w:t>
      </w:r>
      <w:r w:rsidRPr="004075C8">
        <w:rPr>
          <w:lang w:val="ro-RO"/>
        </w:rPr>
        <w:t>ia,</w:t>
      </w:r>
      <w:r w:rsidRPr="004075C8">
        <w:t xml:space="preserve"> </w:t>
      </w:r>
      <w:hyperlink r:id="rId36" w:history="1">
        <w:r w:rsidRPr="004075C8">
          <w:rPr>
            <w:lang w:val="ro-RO"/>
          </w:rPr>
          <w:t xml:space="preserve"> '</w:t>
        </w:r>
        <w:r w:rsidRPr="004075C8">
          <w:rPr>
            <w:rStyle w:val="Footnote0"/>
            <w:rFonts w:eastAsia="Arial Unicode MS"/>
            <w:lang w:val="ro-RO"/>
          </w:rPr>
          <w:t xml:space="preserve">Actualizarea Raportului din 2007 privind supravegherea democratică a serviciilor de securitate </w:t>
        </w:r>
        <w:r>
          <w:rPr>
            <w:rStyle w:val="Footnote0"/>
            <w:rFonts w:eastAsia="Arial Unicode MS"/>
            <w:lang w:val="ro-RO"/>
          </w:rPr>
          <w:t>ş</w:t>
        </w:r>
        <w:r w:rsidRPr="004075C8">
          <w:rPr>
            <w:rStyle w:val="Footnote0"/>
            <w:rFonts w:eastAsia="Arial Unicode MS"/>
            <w:lang w:val="ro-RO"/>
          </w:rPr>
          <w:t>i a Raportului privind supravegherea d</w:t>
        </w:r>
        <w:r>
          <w:rPr>
            <w:rStyle w:val="Footnote0"/>
            <w:rFonts w:eastAsia="Arial Unicode MS"/>
            <w:lang w:val="ro-RO"/>
          </w:rPr>
          <w:t>emocratică a serviciilor de inf</w:t>
        </w:r>
        <w:r w:rsidRPr="004075C8">
          <w:rPr>
            <w:rStyle w:val="Footnote0"/>
            <w:rFonts w:eastAsia="Arial Unicode MS"/>
            <w:lang w:val="ro-RO"/>
          </w:rPr>
          <w:t>o</w:t>
        </w:r>
        <w:r>
          <w:rPr>
            <w:rStyle w:val="Footnote0"/>
            <w:rFonts w:eastAsia="Arial Unicode MS"/>
            <w:lang w:val="ro-RO"/>
          </w:rPr>
          <w:t>r</w:t>
        </w:r>
        <w:r w:rsidRPr="004075C8">
          <w:rPr>
            <w:rStyle w:val="Footnote0"/>
            <w:rFonts w:eastAsia="Arial Unicode MS"/>
            <w:lang w:val="ro-RO"/>
          </w:rPr>
          <w:t>ma</w:t>
        </w:r>
        <w:r>
          <w:rPr>
            <w:rStyle w:val="Footnote0"/>
            <w:rFonts w:eastAsia="Arial Unicode MS"/>
            <w:lang w:val="ro-RO"/>
          </w:rPr>
          <w:t>ţ</w:t>
        </w:r>
        <w:r w:rsidRPr="004075C8">
          <w:rPr>
            <w:rStyle w:val="Footnote0"/>
            <w:rFonts w:eastAsia="Arial Unicode MS"/>
            <w:lang w:val="ro-RO"/>
          </w:rPr>
          <w:t xml:space="preserve">ii </w:t>
        </w:r>
      </w:hyperlink>
      <w:hyperlink r:id="rId37" w:history="1">
        <w:r w:rsidRPr="004075C8">
          <w:rPr>
            <w:rStyle w:val="Footnote0"/>
            <w:rFonts w:eastAsia="Arial Unicode MS"/>
            <w:lang w:val="ro-RO"/>
          </w:rPr>
          <w:t>care folosesc interceptarea semnalelor’</w:t>
        </w:r>
        <w:r w:rsidRPr="004075C8">
          <w:rPr>
            <w:lang w:val="ro-RO"/>
          </w:rPr>
          <w:t xml:space="preserve">, </w:t>
        </w:r>
      </w:hyperlink>
      <w:r w:rsidRPr="004075C8">
        <w:rPr>
          <w:lang w:val="ro-RO"/>
        </w:rPr>
        <w:t xml:space="preserve">2015, pagina 32; a se vedea, de asemenea, § 85 din CEDO, </w:t>
      </w:r>
      <w:r w:rsidRPr="004075C8">
        <w:rPr>
          <w:rStyle w:val="FootnoteItalic1"/>
          <w:rFonts w:eastAsia="Arial Unicode MS"/>
          <w:lang w:val="ro-RO"/>
        </w:rPr>
        <w:t xml:space="preserve">Szabo </w:t>
      </w:r>
      <w:r>
        <w:rPr>
          <w:rStyle w:val="FootnoteItalic1"/>
          <w:rFonts w:eastAsia="Arial Unicode MS"/>
          <w:lang w:val="ro-RO"/>
        </w:rPr>
        <w:t>ş</w:t>
      </w:r>
      <w:r w:rsidRPr="004075C8">
        <w:rPr>
          <w:rStyle w:val="FootnoteItalic1"/>
          <w:rFonts w:eastAsia="Arial Unicode MS"/>
          <w:lang w:val="ro-RO"/>
        </w:rPr>
        <w:t xml:space="preserve">i Vissy împotriva Ungariei  </w:t>
      </w:r>
      <w:r w:rsidRPr="004075C8">
        <w:rPr>
          <w:lang w:val="ro-RO"/>
        </w:rPr>
        <w:t>(37138/14), 2015.</w:t>
      </w:r>
    </w:p>
  </w:footnote>
  <w:footnote w:id="40">
    <w:p w:rsidR="006660B9" w:rsidRDefault="006660B9" w:rsidP="00D71D7F">
      <w:pPr>
        <w:pStyle w:val="Footnote1"/>
        <w:shd w:val="clear" w:color="auto" w:fill="auto"/>
        <w:tabs>
          <w:tab w:val="left" w:pos="284"/>
        </w:tabs>
        <w:spacing w:line="245" w:lineRule="exact"/>
        <w:ind w:firstLine="0"/>
      </w:pPr>
      <w:r w:rsidRPr="004075C8">
        <w:rPr>
          <w:vertAlign w:val="superscript"/>
          <w:lang w:val="ro-RO"/>
        </w:rPr>
        <w:footnoteRef/>
      </w:r>
      <w:r w:rsidRPr="004075C8">
        <w:rPr>
          <w:lang w:val="ro-RO"/>
        </w:rPr>
        <w:tab/>
        <w:t>Conform unor condi</w:t>
      </w:r>
      <w:r>
        <w:rPr>
          <w:lang w:val="ro-RO"/>
        </w:rPr>
        <w:t>ţ</w:t>
      </w:r>
      <w:r w:rsidRPr="004075C8">
        <w:rPr>
          <w:lang w:val="ro-RO"/>
        </w:rPr>
        <w:t xml:space="preserve">ii </w:t>
      </w:r>
      <w:r>
        <w:rPr>
          <w:lang w:val="ro-RO"/>
        </w:rPr>
        <w:t>ş</w:t>
      </w:r>
      <w:r w:rsidRPr="004075C8">
        <w:rPr>
          <w:lang w:val="ro-RO"/>
        </w:rPr>
        <w:t>i norme clare, precum cele privind abuzul în serviciu sau problemele de sănătate.</w:t>
      </w:r>
    </w:p>
  </w:footnote>
  <w:footnote w:id="41">
    <w:p w:rsidR="006660B9" w:rsidRDefault="006660B9" w:rsidP="00D71D7F">
      <w:pPr>
        <w:pStyle w:val="Footnote1"/>
        <w:shd w:val="clear" w:color="auto" w:fill="auto"/>
        <w:tabs>
          <w:tab w:val="left" w:pos="284"/>
        </w:tabs>
        <w:spacing w:line="245" w:lineRule="exact"/>
        <w:ind w:firstLine="0"/>
      </w:pPr>
      <w:r w:rsidRPr="004075C8">
        <w:rPr>
          <w:vertAlign w:val="superscript"/>
          <w:lang w:val="ro-RO"/>
        </w:rPr>
        <w:footnoteRef/>
      </w:r>
      <w:r w:rsidRPr="004075C8">
        <w:rPr>
          <w:lang w:val="ro-RO"/>
        </w:rPr>
        <w:tab/>
        <w:t xml:space="preserve">CEDO, </w:t>
      </w:r>
      <w:r w:rsidRPr="004075C8">
        <w:rPr>
          <w:rStyle w:val="FootnoteItalic"/>
          <w:rFonts w:eastAsia="Arial Unicode MS"/>
          <w:lang w:val="ro-RO"/>
        </w:rPr>
        <w:t>Kopp împotriva Elve</w:t>
      </w:r>
      <w:r>
        <w:rPr>
          <w:rStyle w:val="FootnoteItalic"/>
          <w:rFonts w:eastAsia="Arial Unicode MS"/>
          <w:lang w:val="ro-RO"/>
        </w:rPr>
        <w:t>ţ</w:t>
      </w:r>
      <w:r w:rsidRPr="004075C8">
        <w:rPr>
          <w:rStyle w:val="FootnoteItalic"/>
          <w:rFonts w:eastAsia="Arial Unicode MS"/>
          <w:lang w:val="ro-RO"/>
        </w:rPr>
        <w:t>iei</w:t>
      </w:r>
      <w:r w:rsidRPr="004075C8">
        <w:rPr>
          <w:lang w:val="ro-RO"/>
        </w:rPr>
        <w:t xml:space="preserve"> (23224/94), 1998.</w:t>
      </w:r>
    </w:p>
  </w:footnote>
  <w:footnote w:id="42">
    <w:p w:rsidR="006660B9" w:rsidRDefault="006660B9" w:rsidP="00D71D7F">
      <w:pPr>
        <w:pStyle w:val="Footnote21"/>
        <w:shd w:val="clear" w:color="auto" w:fill="auto"/>
        <w:tabs>
          <w:tab w:val="left" w:pos="284"/>
        </w:tabs>
        <w:spacing w:line="245" w:lineRule="exact"/>
        <w:ind w:firstLine="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 xml:space="preserve">Curtea de Apel din Haga, </w:t>
      </w:r>
      <w:r w:rsidRPr="004075C8">
        <w:rPr>
          <w:lang w:val="ro-RO"/>
        </w:rPr>
        <w:t xml:space="preserve">Prakken D'Oliveira </w:t>
      </w:r>
      <w:r>
        <w:rPr>
          <w:lang w:val="ro-RO"/>
        </w:rPr>
        <w:t>ş</w:t>
      </w:r>
      <w:r w:rsidRPr="004075C8">
        <w:rPr>
          <w:lang w:val="ro-RO"/>
        </w:rPr>
        <w:t>i al</w:t>
      </w:r>
      <w:r>
        <w:rPr>
          <w:lang w:val="ro-RO"/>
        </w:rPr>
        <w:t>ţ</w:t>
      </w:r>
      <w:r w:rsidRPr="004075C8">
        <w:rPr>
          <w:lang w:val="ro-RO"/>
        </w:rPr>
        <w:t>ii împotriva Olandei,</w:t>
      </w:r>
      <w:r w:rsidRPr="004075C8">
        <w:rPr>
          <w:rStyle w:val="Footnote2NotItalic"/>
          <w:rFonts w:eastAsia="Arial Unicode MS"/>
          <w:lang w:val="ro-RO"/>
        </w:rPr>
        <w:t xml:space="preserve"> n. 200 174 280/01,2015, 2.7-8.</w:t>
      </w:r>
    </w:p>
  </w:footnote>
  <w:footnote w:id="43">
    <w:p w:rsidR="006660B9" w:rsidRDefault="006660B9" w:rsidP="00D71D7F">
      <w:pPr>
        <w:pStyle w:val="Footnote21"/>
        <w:shd w:val="clear" w:color="auto" w:fill="auto"/>
        <w:tabs>
          <w:tab w:val="left" w:pos="284"/>
        </w:tabs>
        <w:spacing w:line="182" w:lineRule="exact"/>
        <w:ind w:firstLine="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A se vedea</w:t>
      </w:r>
      <w:hyperlink r:id="rId38" w:history="1">
        <w:r w:rsidRPr="004075C8">
          <w:rPr>
            <w:rStyle w:val="Footnote2NotItalic"/>
            <w:rFonts w:eastAsia="Arial Unicode MS"/>
            <w:lang w:val="ro-RO"/>
          </w:rPr>
          <w:t xml:space="preserve"> </w:t>
        </w:r>
        <w:r w:rsidRPr="004075C8">
          <w:rPr>
            <w:rStyle w:val="Footnote20"/>
            <w:rFonts w:eastAsia="Arial Unicode MS"/>
            <w:i/>
            <w:iCs/>
            <w:lang w:val="ro-RO"/>
          </w:rPr>
          <w:t xml:space="preserve">Telegraaf împotriva Olandei </w:t>
        </w:r>
      </w:hyperlink>
      <w:r w:rsidRPr="004075C8">
        <w:rPr>
          <w:rStyle w:val="Footnote2NotItalic"/>
          <w:rFonts w:eastAsia="Arial Unicode MS"/>
          <w:lang w:val="ro-RO"/>
        </w:rPr>
        <w:t>(39315/06), 2012; “</w:t>
      </w:r>
      <w:r w:rsidRPr="004075C8">
        <w:rPr>
          <w:lang w:val="ro-RO"/>
        </w:rPr>
        <w:t>post factum, indiferent dacă</w:t>
      </w:r>
      <w:r>
        <w:rPr>
          <w:lang w:val="ro-RO"/>
        </w:rPr>
        <w:t xml:space="preserve"> de către</w:t>
      </w:r>
      <w:r w:rsidRPr="004075C8">
        <w:rPr>
          <w:lang w:val="ro-RO"/>
        </w:rPr>
        <w:t xml:space="preserve"> Consiliul de Supraveghere, [...], odată distrusă, nu se mai poate reinstitui confiden</w:t>
      </w:r>
      <w:r>
        <w:rPr>
          <w:lang w:val="ro-RO"/>
        </w:rPr>
        <w:t>ţ</w:t>
      </w:r>
      <w:r w:rsidRPr="004075C8">
        <w:rPr>
          <w:lang w:val="ro-RO"/>
        </w:rPr>
        <w:t>ialitatea surselor jurnalistice."</w:t>
      </w:r>
      <w:r w:rsidRPr="004075C8">
        <w:rPr>
          <w:rStyle w:val="Footnote2NotItalic"/>
          <w:rFonts w:eastAsia="Arial Unicode MS"/>
          <w:lang w:val="ro-RO"/>
        </w:rPr>
        <w:t xml:space="preserve"> § 101.</w:t>
      </w:r>
    </w:p>
  </w:footnote>
  <w:footnote w:id="44">
    <w:p w:rsidR="006660B9" w:rsidRDefault="006660B9" w:rsidP="00D71D7F">
      <w:pPr>
        <w:pStyle w:val="Footnote1"/>
        <w:shd w:val="clear" w:color="auto" w:fill="auto"/>
        <w:tabs>
          <w:tab w:val="left" w:pos="284"/>
        </w:tabs>
        <w:spacing w:line="160" w:lineRule="exact"/>
        <w:ind w:firstLine="0"/>
      </w:pPr>
      <w:r w:rsidRPr="004075C8">
        <w:rPr>
          <w:vertAlign w:val="superscript"/>
          <w:lang w:val="ro-RO"/>
        </w:rPr>
        <w:footnoteRef/>
      </w:r>
      <w:r w:rsidRPr="004075C8">
        <w:rPr>
          <w:lang w:val="ro-RO"/>
        </w:rPr>
        <w:tab/>
        <w:t xml:space="preserve">CEDO, </w:t>
      </w:r>
      <w:r w:rsidRPr="004075C8">
        <w:rPr>
          <w:rStyle w:val="FootnoteItalic"/>
          <w:rFonts w:eastAsia="Arial Unicode MS"/>
          <w:lang w:val="ro-RO"/>
        </w:rPr>
        <w:t>Michaud împotriva Fran</w:t>
      </w:r>
      <w:r>
        <w:rPr>
          <w:rStyle w:val="FootnoteItalic"/>
          <w:rFonts w:eastAsia="Arial Unicode MS"/>
          <w:lang w:val="ro-RO"/>
        </w:rPr>
        <w:t>ţ</w:t>
      </w:r>
      <w:r w:rsidRPr="004075C8">
        <w:rPr>
          <w:rStyle w:val="FootnoteItalic"/>
          <w:rFonts w:eastAsia="Arial Unicode MS"/>
          <w:lang w:val="ro-RO"/>
        </w:rPr>
        <w:t>ei</w:t>
      </w:r>
      <w:r w:rsidRPr="004075C8">
        <w:rPr>
          <w:lang w:val="ro-RO"/>
        </w:rPr>
        <w:t xml:space="preserve"> (12323/11), 2012, </w:t>
      </w:r>
      <w:r>
        <w:rPr>
          <w:lang w:val="ro-RO"/>
        </w:rPr>
        <w:t>ş</w:t>
      </w:r>
      <w:r w:rsidRPr="004075C8">
        <w:rPr>
          <w:lang w:val="ro-RO"/>
        </w:rPr>
        <w:t>i jurispruden</w:t>
      </w:r>
      <w:r>
        <w:rPr>
          <w:lang w:val="ro-RO"/>
        </w:rPr>
        <w:t>ţ</w:t>
      </w:r>
      <w:r w:rsidRPr="004075C8">
        <w:rPr>
          <w:lang w:val="ro-RO"/>
        </w:rPr>
        <w:t>a citată.</w:t>
      </w:r>
    </w:p>
  </w:footnote>
  <w:footnote w:id="45">
    <w:p w:rsidR="006660B9" w:rsidRDefault="006660B9" w:rsidP="00D71D7F">
      <w:pPr>
        <w:pStyle w:val="Footnote1"/>
        <w:shd w:val="clear" w:color="auto" w:fill="auto"/>
        <w:tabs>
          <w:tab w:val="left" w:pos="284"/>
        </w:tabs>
        <w:spacing w:line="240" w:lineRule="exact"/>
        <w:ind w:firstLine="0"/>
      </w:pPr>
      <w:r w:rsidRPr="004075C8">
        <w:rPr>
          <w:vertAlign w:val="superscript"/>
          <w:lang w:val="ro-RO"/>
        </w:rPr>
        <w:footnoteRef/>
      </w:r>
      <w:r w:rsidRPr="004075C8">
        <w:rPr>
          <w:lang w:val="ro-RO"/>
        </w:rPr>
        <w:tab/>
        <w:t>CEDO,</w:t>
      </w:r>
      <w:hyperlink r:id="rId39" w:history="1">
        <w:r w:rsidRPr="004075C8">
          <w:rPr>
            <w:lang w:val="ro-RO"/>
          </w:rPr>
          <w:t xml:space="preserve"> </w:t>
        </w:r>
        <w:r w:rsidRPr="004075C8">
          <w:rPr>
            <w:rStyle w:val="FootnoteItalic1"/>
            <w:rFonts w:eastAsia="Arial Unicode MS"/>
            <w:lang w:val="ro-RO"/>
          </w:rPr>
          <w:t>Zakharov împotriva Rusiei</w:t>
        </w:r>
        <w:r w:rsidRPr="004075C8">
          <w:rPr>
            <w:rStyle w:val="Footnote22"/>
            <w:rFonts w:eastAsia="Arial Unicode MS"/>
            <w:lang w:val="ro-RO"/>
          </w:rPr>
          <w:t xml:space="preserve"> </w:t>
        </w:r>
      </w:hyperlink>
      <w:r w:rsidRPr="004075C8">
        <w:rPr>
          <w:lang w:val="ro-RO"/>
        </w:rPr>
        <w:t>(47143/06), 2015, §280; a se vedea, de asemenea, CEDO,</w:t>
      </w:r>
      <w:hyperlink r:id="rId40" w:history="1">
        <w:r w:rsidRPr="004075C8">
          <w:rPr>
            <w:lang w:val="ro-RO"/>
          </w:rPr>
          <w:t xml:space="preserve"> </w:t>
        </w:r>
        <w:r w:rsidRPr="004075C8">
          <w:rPr>
            <w:rStyle w:val="FootnoteItalic1"/>
            <w:rFonts w:eastAsia="Arial Unicode MS"/>
            <w:lang w:val="ro-RO"/>
          </w:rPr>
          <w:t>Kennedy împotriva Regatului Unit</w:t>
        </w:r>
        <w:r w:rsidRPr="004075C8">
          <w:rPr>
            <w:rStyle w:val="Footnote22"/>
            <w:rFonts w:eastAsia="Arial Unicode MS"/>
            <w:lang w:val="ro-RO"/>
          </w:rPr>
          <w:t xml:space="preserve"> </w:t>
        </w:r>
      </w:hyperlink>
      <w:r w:rsidRPr="004075C8">
        <w:rPr>
          <w:lang w:val="ro-RO"/>
        </w:rPr>
        <w:t>(26839/05), 2010, §166.</w:t>
      </w:r>
    </w:p>
  </w:footnote>
  <w:footnote w:id="46">
    <w:p w:rsidR="006660B9" w:rsidRDefault="006660B9" w:rsidP="00D71D7F">
      <w:pPr>
        <w:pStyle w:val="Footnote21"/>
        <w:shd w:val="clear" w:color="auto" w:fill="auto"/>
        <w:tabs>
          <w:tab w:val="left" w:pos="284"/>
        </w:tabs>
        <w:spacing w:line="240" w:lineRule="exact"/>
        <w:ind w:firstLine="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 xml:space="preserve"> </w:t>
      </w:r>
      <w:r w:rsidRPr="004075C8">
        <w:rPr>
          <w:rStyle w:val="Footnote2NotItalic"/>
          <w:rFonts w:eastAsia="Arial Unicode MS"/>
          <w:lang w:val="ro-RO"/>
        </w:rPr>
        <w:tab/>
        <w:t xml:space="preserve">Curtea de Apel din Haga, </w:t>
      </w:r>
      <w:r w:rsidRPr="004075C8">
        <w:rPr>
          <w:lang w:val="ro-RO"/>
        </w:rPr>
        <w:t xml:space="preserve">Prakken D'Oliveira </w:t>
      </w:r>
      <w:r>
        <w:rPr>
          <w:lang w:val="ro-RO"/>
        </w:rPr>
        <w:t>ş</w:t>
      </w:r>
      <w:r w:rsidRPr="004075C8">
        <w:rPr>
          <w:lang w:val="ro-RO"/>
        </w:rPr>
        <w:t>i al</w:t>
      </w:r>
      <w:r>
        <w:rPr>
          <w:lang w:val="ro-RO"/>
        </w:rPr>
        <w:t>ţ</w:t>
      </w:r>
      <w:r w:rsidRPr="004075C8">
        <w:rPr>
          <w:lang w:val="ro-RO"/>
        </w:rPr>
        <w:t>ii împotriva Olandei,</w:t>
      </w:r>
      <w:r w:rsidRPr="004075C8">
        <w:rPr>
          <w:rStyle w:val="Footnote2NotItalic"/>
          <w:rFonts w:eastAsia="Arial Unicode MS"/>
          <w:lang w:val="ro-RO"/>
        </w:rPr>
        <w:t xml:space="preserve"> n. 200 174 280/01,2015, 2.9.</w:t>
      </w:r>
    </w:p>
  </w:footnote>
  <w:footnote w:id="47">
    <w:p w:rsidR="006660B9" w:rsidRDefault="006660B9" w:rsidP="00D71D7F">
      <w:pPr>
        <w:pStyle w:val="Footnote1"/>
        <w:shd w:val="clear" w:color="auto" w:fill="auto"/>
        <w:tabs>
          <w:tab w:val="left" w:pos="284"/>
          <w:tab w:val="left" w:pos="1268"/>
        </w:tabs>
        <w:spacing w:line="240" w:lineRule="exact"/>
        <w:ind w:firstLine="0"/>
      </w:pPr>
      <w:r w:rsidRPr="004075C8">
        <w:rPr>
          <w:vertAlign w:val="superscript"/>
          <w:lang w:val="ro-RO"/>
        </w:rPr>
        <w:footnoteRef/>
      </w:r>
      <w:r w:rsidRPr="004075C8">
        <w:rPr>
          <w:lang w:val="ro-RO"/>
        </w:rPr>
        <w:tab/>
        <w:t>A se vedea</w:t>
      </w:r>
      <w:hyperlink r:id="rId41" w:history="1">
        <w:r w:rsidRPr="004075C8">
          <w:rPr>
            <w:lang w:val="ro-RO"/>
          </w:rPr>
          <w:t xml:space="preserve"> </w:t>
        </w:r>
        <w:r w:rsidRPr="004075C8">
          <w:rPr>
            <w:rStyle w:val="FootnoteItalic1"/>
            <w:rFonts w:eastAsia="Arial Unicode MS"/>
            <w:lang w:val="ro-RO"/>
          </w:rPr>
          <w:t>Telegraaf împotriva</w:t>
        </w:r>
      </w:hyperlink>
      <w:r w:rsidRPr="004075C8">
        <w:rPr>
          <w:lang w:val="ro-RO"/>
        </w:rPr>
        <w:t xml:space="preserve"> Olandei (39315/06), 2012; a se vedea, de asemenea, CEDO,</w:t>
      </w:r>
      <w:hyperlink r:id="rId42" w:history="1">
        <w:r w:rsidRPr="004075C8">
          <w:rPr>
            <w:lang w:val="ro-RO"/>
          </w:rPr>
          <w:t xml:space="preserve"> </w:t>
        </w:r>
        <w:r w:rsidRPr="004075C8">
          <w:rPr>
            <w:rStyle w:val="FootnoteItalic1"/>
            <w:rFonts w:eastAsia="Arial Unicode MS"/>
            <w:lang w:val="ro-RO"/>
          </w:rPr>
          <w:t xml:space="preserve">Kennedy împotriva Regatului Unit </w:t>
        </w:r>
      </w:hyperlink>
      <w:r w:rsidRPr="004075C8">
        <w:rPr>
          <w:lang w:val="ro-RO"/>
        </w:rPr>
        <w:t>(26839/05), 2010.</w:t>
      </w:r>
    </w:p>
  </w:footnote>
  <w:footnote w:id="48">
    <w:p w:rsidR="006660B9" w:rsidRDefault="006660B9" w:rsidP="00D71D7F">
      <w:pPr>
        <w:pStyle w:val="Footnote1"/>
        <w:shd w:val="clear" w:color="auto" w:fill="auto"/>
        <w:tabs>
          <w:tab w:val="left" w:pos="284"/>
          <w:tab w:val="left" w:pos="1273"/>
        </w:tabs>
        <w:spacing w:line="240" w:lineRule="exact"/>
        <w:ind w:firstLine="0"/>
      </w:pPr>
      <w:r w:rsidRPr="004075C8">
        <w:rPr>
          <w:vertAlign w:val="superscript"/>
          <w:lang w:val="ro-RO"/>
        </w:rPr>
        <w:footnoteRef/>
      </w:r>
      <w:r w:rsidRPr="004075C8">
        <w:rPr>
          <w:lang w:val="ro-RO"/>
        </w:rPr>
        <w:tab/>
        <w:t xml:space="preserve">CEDO, </w:t>
      </w:r>
      <w:r w:rsidRPr="004075C8">
        <w:rPr>
          <w:rStyle w:val="FootnoteItalic"/>
          <w:rFonts w:eastAsia="Arial Unicode MS"/>
          <w:lang w:val="ro-RO"/>
        </w:rPr>
        <w:t>Kennedy împotriva UK</w:t>
      </w:r>
      <w:r w:rsidRPr="004075C8">
        <w:rPr>
          <w:lang w:val="ro-RO"/>
        </w:rPr>
        <w:t xml:space="preserve"> (26839/05), 2010, §168.</w:t>
      </w:r>
    </w:p>
  </w:footnote>
  <w:footnote w:id="49">
    <w:p w:rsidR="006660B9" w:rsidRDefault="006660B9" w:rsidP="00D71D7F">
      <w:pPr>
        <w:pStyle w:val="Footnote1"/>
        <w:shd w:val="clear" w:color="auto" w:fill="auto"/>
        <w:tabs>
          <w:tab w:val="left" w:pos="284"/>
          <w:tab w:val="left" w:pos="1273"/>
        </w:tabs>
        <w:spacing w:line="202" w:lineRule="exact"/>
        <w:ind w:left="360" w:hanging="360"/>
      </w:pPr>
      <w:r w:rsidRPr="004075C8">
        <w:rPr>
          <w:vertAlign w:val="superscript"/>
          <w:lang w:val="ro-RO"/>
        </w:rPr>
        <w:footnoteRef/>
      </w:r>
      <w:r w:rsidRPr="004075C8">
        <w:rPr>
          <w:lang w:val="ro-RO"/>
        </w:rPr>
        <w:tab/>
        <w:t xml:space="preserve">CEDO, S. </w:t>
      </w:r>
      <w:r w:rsidRPr="004075C8">
        <w:rPr>
          <w:rStyle w:val="FootnoteItalic"/>
          <w:rFonts w:eastAsia="Arial Unicode MS"/>
          <w:lang w:val="ro-RO"/>
        </w:rPr>
        <w:t>împotriva Elve</w:t>
      </w:r>
      <w:r>
        <w:rPr>
          <w:rStyle w:val="FootnoteItalic"/>
          <w:rFonts w:eastAsia="Arial Unicode MS"/>
          <w:lang w:val="ro-RO"/>
        </w:rPr>
        <w:t>ţ</w:t>
      </w:r>
      <w:r w:rsidRPr="004075C8">
        <w:rPr>
          <w:rStyle w:val="FootnoteItalic"/>
          <w:rFonts w:eastAsia="Arial Unicode MS"/>
          <w:lang w:val="ro-RO"/>
        </w:rPr>
        <w:t>iei</w:t>
      </w:r>
      <w:r w:rsidRPr="004075C8">
        <w:rPr>
          <w:lang w:val="ro-RO"/>
        </w:rPr>
        <w:t xml:space="preserve"> (12629/87), 1991, §48; </w:t>
      </w:r>
      <w:r w:rsidRPr="004075C8">
        <w:rPr>
          <w:rStyle w:val="FootnoteItalic"/>
          <w:rFonts w:eastAsia="Arial Unicode MS"/>
          <w:lang w:val="ro-RO"/>
        </w:rPr>
        <w:t>Domenichini împotriva Italiei</w:t>
      </w:r>
      <w:r w:rsidRPr="004075C8">
        <w:rPr>
          <w:lang w:val="ro-RO"/>
        </w:rPr>
        <w:t xml:space="preserve"> (15943/90), 1996, §39; Ocalan împotriva Turciei (46221/99), 2005, §1333; </w:t>
      </w:r>
      <w:r w:rsidRPr="004075C8">
        <w:rPr>
          <w:rStyle w:val="FootnoteItalic"/>
          <w:rFonts w:eastAsia="Arial Unicode MS"/>
          <w:lang w:val="ro-RO"/>
        </w:rPr>
        <w:t>Moiseyev împotriva Rusiei</w:t>
      </w:r>
      <w:r w:rsidRPr="004075C8">
        <w:rPr>
          <w:lang w:val="ro-RO"/>
        </w:rPr>
        <w:t xml:space="preserve"> (62936/00), 2008, §209; </w:t>
      </w:r>
      <w:r w:rsidRPr="004075C8">
        <w:rPr>
          <w:rStyle w:val="FootnoteItalic"/>
          <w:rFonts w:eastAsia="Arial Unicode MS"/>
          <w:lang w:val="ro-RO"/>
        </w:rPr>
        <w:t>Campbell împotriva Regatului Unit</w:t>
      </w:r>
      <w:r w:rsidRPr="004075C8">
        <w:rPr>
          <w:lang w:val="ro-RO"/>
        </w:rPr>
        <w:t xml:space="preserve"> (13590/88), 1992, §§ 44-48.</w:t>
      </w:r>
    </w:p>
  </w:footnote>
  <w:footnote w:id="50">
    <w:p w:rsidR="006660B9" w:rsidRDefault="006660B9" w:rsidP="00D71D7F">
      <w:pPr>
        <w:pStyle w:val="Footnote21"/>
        <w:shd w:val="clear" w:color="auto" w:fill="auto"/>
        <w:tabs>
          <w:tab w:val="left" w:pos="284"/>
          <w:tab w:val="left" w:pos="1273"/>
        </w:tabs>
        <w:spacing w:line="160" w:lineRule="exact"/>
        <w:ind w:firstLine="0"/>
        <w:jc w:val="both"/>
      </w:pPr>
      <w:r w:rsidRPr="004075C8">
        <w:rPr>
          <w:rStyle w:val="Footnote2NotItalic"/>
          <w:rFonts w:eastAsia="Arial Unicode MS"/>
          <w:vertAlign w:val="superscript"/>
          <w:lang w:val="ro-RO"/>
        </w:rPr>
        <w:footnoteRef/>
      </w:r>
      <w:r w:rsidRPr="004075C8">
        <w:rPr>
          <w:rStyle w:val="Footnote2NotItalic"/>
          <w:rFonts w:eastAsia="Arial Unicode MS"/>
          <w:lang w:val="ro-RO"/>
        </w:rPr>
        <w:tab/>
        <w:t>CEDO,</w:t>
      </w:r>
      <w:hyperlink r:id="rId43" w:history="1">
        <w:r w:rsidRPr="004075C8">
          <w:rPr>
            <w:rStyle w:val="Footnote2NotItalic"/>
            <w:rFonts w:eastAsia="Arial Unicode MS"/>
            <w:lang w:val="ro-RO"/>
          </w:rPr>
          <w:t xml:space="preserve"> </w:t>
        </w:r>
        <w:r w:rsidRPr="004075C8">
          <w:rPr>
            <w:rStyle w:val="Footnote20"/>
            <w:rFonts w:eastAsia="Arial Unicode MS"/>
            <w:i/>
            <w:iCs/>
            <w:lang w:val="ro-RO"/>
          </w:rPr>
          <w:t xml:space="preserve">Segerstedt-Wiberg </w:t>
        </w:r>
        <w:r>
          <w:rPr>
            <w:rStyle w:val="Footnote20"/>
            <w:rFonts w:eastAsia="Arial Unicode MS"/>
            <w:i/>
            <w:iCs/>
            <w:lang w:val="ro-RO"/>
          </w:rPr>
          <w:t>ş</w:t>
        </w:r>
        <w:r w:rsidRPr="004075C8">
          <w:rPr>
            <w:rStyle w:val="Footnote20"/>
            <w:rFonts w:eastAsia="Arial Unicode MS"/>
            <w:i/>
            <w:iCs/>
            <w:lang w:val="ro-RO"/>
          </w:rPr>
          <w:t>i al</w:t>
        </w:r>
        <w:r>
          <w:rPr>
            <w:rStyle w:val="Footnote20"/>
            <w:rFonts w:eastAsia="Arial Unicode MS"/>
            <w:i/>
            <w:iCs/>
            <w:lang w:val="ro-RO"/>
          </w:rPr>
          <w:t>ţ</w:t>
        </w:r>
        <w:r w:rsidRPr="004075C8">
          <w:rPr>
            <w:rStyle w:val="Footnote20"/>
            <w:rFonts w:eastAsia="Arial Unicode MS"/>
            <w:i/>
            <w:iCs/>
            <w:lang w:val="ro-RO"/>
          </w:rPr>
          <w:t xml:space="preserve">ii împotriva Suediei </w:t>
        </w:r>
        <w:r w:rsidRPr="004075C8">
          <w:rPr>
            <w:rStyle w:val="Footnote2NotItalic2"/>
            <w:rFonts w:eastAsia="Arial Unicode MS"/>
            <w:lang w:val="ro-RO"/>
          </w:rPr>
          <w:t xml:space="preserve"> </w:t>
        </w:r>
      </w:hyperlink>
      <w:r w:rsidRPr="004075C8">
        <w:rPr>
          <w:rStyle w:val="Footnote2NotItalic"/>
          <w:rFonts w:eastAsia="Arial Unicode MS"/>
          <w:lang w:val="ro-RO"/>
        </w:rPr>
        <w:t>(62332/00), 2006, §117.</w:t>
      </w:r>
    </w:p>
  </w:footnote>
  <w:footnote w:id="51">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Ibid.</w:t>
      </w:r>
    </w:p>
  </w:footnote>
  <w:footnote w:id="52">
    <w:p w:rsidR="006660B9" w:rsidRDefault="006660B9" w:rsidP="00D71D7F">
      <w:pPr>
        <w:pStyle w:val="Footnote1"/>
        <w:shd w:val="clear" w:color="auto" w:fill="auto"/>
        <w:tabs>
          <w:tab w:val="left" w:pos="284"/>
          <w:tab w:val="left" w:pos="1268"/>
        </w:tabs>
        <w:ind w:left="360" w:hanging="360"/>
      </w:pPr>
      <w:r w:rsidRPr="004075C8">
        <w:rPr>
          <w:vertAlign w:val="superscript"/>
          <w:lang w:val="ro-RO"/>
        </w:rPr>
        <w:footnoteRef/>
      </w:r>
      <w:r w:rsidRPr="004075C8">
        <w:rPr>
          <w:lang w:val="ro-RO"/>
        </w:rPr>
        <w:tab/>
        <w:t>Comisarul pentru drepturile omului al Consiliului Europei,</w:t>
      </w:r>
      <w:hyperlink r:id="rId44" w:history="1">
        <w:r w:rsidRPr="004075C8">
          <w:rPr>
            <w:lang w:val="ro-RO"/>
          </w:rPr>
          <w:t xml:space="preserve"> '</w:t>
        </w:r>
        <w:r w:rsidRPr="004075C8">
          <w:rPr>
            <w:rStyle w:val="Footnote0"/>
            <w:rFonts w:eastAsia="Arial Unicode MS"/>
            <w:lang w:val="ro-RO"/>
          </w:rPr>
          <w:t xml:space="preserve">Supravegherea democratică </w:t>
        </w:r>
        <w:r>
          <w:rPr>
            <w:rStyle w:val="Footnote0"/>
            <w:rFonts w:eastAsia="Arial Unicode MS"/>
            <w:lang w:val="ro-RO"/>
          </w:rPr>
          <w:t>ş</w:t>
        </w:r>
        <w:r w:rsidRPr="004075C8">
          <w:rPr>
            <w:rStyle w:val="Footnote0"/>
            <w:rFonts w:eastAsia="Arial Unicode MS"/>
            <w:lang w:val="ro-RO"/>
          </w:rPr>
          <w:t>i eficientă a serviciilor na</w:t>
        </w:r>
        <w:r>
          <w:rPr>
            <w:rStyle w:val="Footnote0"/>
            <w:rFonts w:eastAsia="Arial Unicode MS"/>
            <w:lang w:val="ro-RO"/>
          </w:rPr>
          <w:t>ţ</w:t>
        </w:r>
        <w:r w:rsidRPr="004075C8">
          <w:rPr>
            <w:rStyle w:val="Footnote0"/>
            <w:rFonts w:eastAsia="Arial Unicode MS"/>
            <w:lang w:val="ro-RO"/>
          </w:rPr>
          <w:t>ionale de securitate’</w:t>
        </w:r>
        <w:r w:rsidRPr="004075C8">
          <w:rPr>
            <w:lang w:val="ro-RO"/>
          </w:rPr>
          <w:t xml:space="preserve">, </w:t>
        </w:r>
      </w:hyperlink>
      <w:r w:rsidRPr="004075C8">
        <w:rPr>
          <w:lang w:val="ro-RO"/>
        </w:rPr>
        <w:t>document de discu</w:t>
      </w:r>
      <w:r>
        <w:rPr>
          <w:lang w:val="ro-RO"/>
        </w:rPr>
        <w:t>ţ</w:t>
      </w:r>
      <w:r w:rsidRPr="004075C8">
        <w:rPr>
          <w:lang w:val="ro-RO"/>
        </w:rPr>
        <w:t>ie, Consiliul Europei, 2015, pagina 51.</w:t>
      </w:r>
    </w:p>
  </w:footnote>
  <w:footnote w:id="53">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CEDO,</w:t>
      </w:r>
      <w:hyperlink r:id="rId45" w:history="1">
        <w:r w:rsidRPr="004075C8">
          <w:rPr>
            <w:lang w:val="ro-RO"/>
          </w:rPr>
          <w:t xml:space="preserve"> </w:t>
        </w:r>
        <w:r w:rsidRPr="004075C8">
          <w:rPr>
            <w:rStyle w:val="FootnoteItalic1"/>
            <w:rFonts w:eastAsia="Arial Unicode MS"/>
            <w:lang w:val="ro-RO"/>
          </w:rPr>
          <w:t>Zhakarov împotriva Rusiei</w:t>
        </w:r>
        <w:r w:rsidRPr="004075C8">
          <w:rPr>
            <w:rStyle w:val="Footnote22"/>
            <w:rFonts w:eastAsia="Arial Unicode MS"/>
            <w:lang w:val="ro-RO"/>
          </w:rPr>
          <w:t xml:space="preserve"> </w:t>
        </w:r>
      </w:hyperlink>
      <w:r w:rsidRPr="004075C8">
        <w:rPr>
          <w:lang w:val="ro-RO"/>
        </w:rPr>
        <w:t>(47143/06), 2015.</w:t>
      </w:r>
    </w:p>
  </w:footnote>
  <w:footnote w:id="54">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CEDO,</w:t>
      </w:r>
      <w:hyperlink r:id="rId46" w:history="1">
        <w:r w:rsidRPr="004075C8">
          <w:rPr>
            <w:lang w:val="ro-RO"/>
          </w:rPr>
          <w:t xml:space="preserve"> </w:t>
        </w:r>
        <w:r w:rsidRPr="004075C8">
          <w:rPr>
            <w:rStyle w:val="FootnoteItalic1"/>
            <w:rFonts w:eastAsia="Arial Unicode MS"/>
            <w:lang w:val="ro-RO"/>
          </w:rPr>
          <w:t xml:space="preserve">Szabo </w:t>
        </w:r>
        <w:r>
          <w:rPr>
            <w:rStyle w:val="FootnoteItalic1"/>
            <w:rFonts w:eastAsia="Arial Unicode MS"/>
            <w:lang w:val="ro-RO"/>
          </w:rPr>
          <w:t>ş</w:t>
        </w:r>
        <w:r w:rsidRPr="004075C8">
          <w:rPr>
            <w:rStyle w:val="FootnoteItalic1"/>
            <w:rFonts w:eastAsia="Arial Unicode MS"/>
            <w:lang w:val="ro-RO"/>
          </w:rPr>
          <w:t>i Vissy împotriva Ungariei</w:t>
        </w:r>
        <w:r w:rsidRPr="004075C8">
          <w:rPr>
            <w:rStyle w:val="Footnote22"/>
            <w:rFonts w:eastAsia="Arial Unicode MS"/>
            <w:lang w:val="ro-RO"/>
          </w:rPr>
          <w:t xml:space="preserve"> </w:t>
        </w:r>
      </w:hyperlink>
      <w:r w:rsidRPr="004075C8">
        <w:rPr>
          <w:lang w:val="ro-RO"/>
        </w:rPr>
        <w:t>(37138/14), 2016.</w:t>
      </w:r>
    </w:p>
  </w:footnote>
  <w:footnote w:id="55">
    <w:p w:rsidR="006660B9" w:rsidRDefault="006660B9" w:rsidP="00D71D7F">
      <w:pPr>
        <w:pStyle w:val="Footnote1"/>
        <w:shd w:val="clear" w:color="auto" w:fill="auto"/>
        <w:tabs>
          <w:tab w:val="left" w:pos="284"/>
          <w:tab w:val="left" w:pos="1268"/>
        </w:tabs>
        <w:ind w:firstLine="0"/>
      </w:pPr>
      <w:r w:rsidRPr="004075C8">
        <w:rPr>
          <w:vertAlign w:val="superscript"/>
          <w:lang w:val="ro-RO"/>
        </w:rPr>
        <w:footnoteRef/>
      </w:r>
      <w:r w:rsidRPr="004075C8">
        <w:rPr>
          <w:lang w:val="ro-RO"/>
        </w:rPr>
        <w:tab/>
        <w:t>Comisarul pentru drepturile omului al Consiliului Europei,</w:t>
      </w:r>
      <w:hyperlink r:id="rId47" w:history="1">
        <w:r w:rsidRPr="004075C8">
          <w:rPr>
            <w:lang w:val="ro-RO"/>
          </w:rPr>
          <w:t xml:space="preserve"> ‘</w:t>
        </w:r>
        <w:r w:rsidRPr="004075C8">
          <w:rPr>
            <w:rStyle w:val="Footnote0"/>
            <w:rFonts w:eastAsia="Arial Unicode MS"/>
            <w:lang w:val="ro-RO"/>
          </w:rPr>
          <w:t xml:space="preserve">Supravegherea democratică </w:t>
        </w:r>
        <w:r>
          <w:rPr>
            <w:rStyle w:val="Footnote0"/>
            <w:rFonts w:eastAsia="Arial Unicode MS"/>
            <w:lang w:val="ro-RO"/>
          </w:rPr>
          <w:t>ş</w:t>
        </w:r>
        <w:r w:rsidRPr="004075C8">
          <w:rPr>
            <w:rStyle w:val="Footnote0"/>
            <w:rFonts w:eastAsia="Arial Unicode MS"/>
            <w:lang w:val="ro-RO"/>
          </w:rPr>
          <w:t>i eficientă a serviciilor na</w:t>
        </w:r>
        <w:r>
          <w:rPr>
            <w:rStyle w:val="Footnote0"/>
            <w:rFonts w:eastAsia="Arial Unicode MS"/>
            <w:lang w:val="ro-RO"/>
          </w:rPr>
          <w:t>ţ</w:t>
        </w:r>
        <w:r w:rsidRPr="004075C8">
          <w:rPr>
            <w:rStyle w:val="Footnote0"/>
            <w:rFonts w:eastAsia="Arial Unicode MS"/>
            <w:lang w:val="ro-RO"/>
          </w:rPr>
          <w:t>ionale de securitate’</w:t>
        </w:r>
        <w:r w:rsidRPr="004075C8">
          <w:rPr>
            <w:lang w:val="ro-RO"/>
          </w:rPr>
          <w:t xml:space="preserve">, </w:t>
        </w:r>
      </w:hyperlink>
      <w:r w:rsidRPr="004075C8">
        <w:rPr>
          <w:lang w:val="ro-RO"/>
        </w:rPr>
        <w:t xml:space="preserve"> document de discu</w:t>
      </w:r>
      <w:r>
        <w:rPr>
          <w:lang w:val="ro-RO"/>
        </w:rPr>
        <w:t>ţ</w:t>
      </w:r>
      <w:r w:rsidRPr="004075C8">
        <w:rPr>
          <w:lang w:val="ro-RO"/>
        </w:rPr>
        <w:t>ie, Consiliul Europei, 2015, page 51.</w:t>
      </w:r>
    </w:p>
  </w:footnote>
  <w:footnote w:id="56">
    <w:p w:rsidR="006660B9" w:rsidRDefault="006660B9" w:rsidP="00D71D7F">
      <w:pPr>
        <w:pStyle w:val="Footnote1"/>
        <w:shd w:val="clear" w:color="auto" w:fill="auto"/>
        <w:tabs>
          <w:tab w:val="left" w:pos="284"/>
          <w:tab w:val="left" w:pos="1273"/>
        </w:tabs>
        <w:spacing w:line="160" w:lineRule="exact"/>
        <w:ind w:firstLine="0"/>
      </w:pPr>
      <w:r w:rsidRPr="004075C8">
        <w:rPr>
          <w:vertAlign w:val="superscript"/>
          <w:lang w:val="ro-RO"/>
        </w:rPr>
        <w:footnoteRef/>
      </w:r>
      <w:r w:rsidRPr="004075C8">
        <w:rPr>
          <w:lang w:val="ro-RO"/>
        </w:rPr>
        <w:tab/>
        <w:t>CEDO,</w:t>
      </w:r>
      <w:hyperlink r:id="rId48" w:history="1">
        <w:r w:rsidRPr="004075C8">
          <w:rPr>
            <w:lang w:val="ro-RO"/>
          </w:rPr>
          <w:t xml:space="preserve"> </w:t>
        </w:r>
        <w:r w:rsidRPr="004075C8">
          <w:rPr>
            <w:rStyle w:val="FootnoteItalic1"/>
            <w:rFonts w:eastAsia="Arial Unicode MS"/>
            <w:lang w:val="ro-RO"/>
          </w:rPr>
          <w:t>Pruteanu împotriva României</w:t>
        </w:r>
        <w:r w:rsidRPr="004075C8">
          <w:rPr>
            <w:rStyle w:val="Footnote22"/>
            <w:rFonts w:eastAsia="Arial Unicode MS"/>
            <w:lang w:val="ro-RO"/>
          </w:rPr>
          <w:t xml:space="preserve"> </w:t>
        </w:r>
      </w:hyperlink>
      <w:r w:rsidRPr="004075C8">
        <w:rPr>
          <w:lang w:val="ro-RO"/>
        </w:rPr>
        <w:t>(30181/05), 2015,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B9" w:rsidRDefault="00666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CF7"/>
    <w:multiLevelType w:val="multilevel"/>
    <w:tmpl w:val="20863D24"/>
    <w:lvl w:ilvl="0">
      <w:start w:val="1"/>
      <w:numFmt w:val="decimal"/>
      <w:lvlText w:val="%1."/>
      <w:lvlJc w:val="left"/>
      <w:rPr>
        <w:rFonts w:ascii="Arial" w:eastAsia="Times New Roman" w:hAnsi="Arial" w:cs="Arial"/>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181D33"/>
    <w:multiLevelType w:val="multilevel"/>
    <w:tmpl w:val="ACB8BD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9301BC"/>
    <w:multiLevelType w:val="multilevel"/>
    <w:tmpl w:val="75EC3B54"/>
    <w:lvl w:ilvl="0">
      <w:start w:val="1"/>
      <w:numFmt w:val="decimal"/>
      <w:lvlText w:val="%1."/>
      <w:lvlJc w:val="left"/>
      <w:rPr>
        <w:rFonts w:ascii="Arial" w:eastAsia="Times New Roman" w:hAnsi="Arial" w:cs="Arial"/>
        <w:b/>
        <w:bCs/>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1514D01"/>
    <w:multiLevelType w:val="multilevel"/>
    <w:tmpl w:val="ACFCAFB2"/>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F931CA7"/>
    <w:multiLevelType w:val="multilevel"/>
    <w:tmpl w:val="F018660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85B7F6A"/>
    <w:multiLevelType w:val="multilevel"/>
    <w:tmpl w:val="A240EAC4"/>
    <w:lvl w:ilvl="0">
      <w:start w:val="1"/>
      <w:numFmt w:val="decimal"/>
      <w:lvlText w:val="2.3.%1."/>
      <w:lvlJc w:val="left"/>
      <w:rPr>
        <w:rFonts w:ascii="Arial" w:eastAsia="Times New Roman" w:hAnsi="Arial" w:cs="Arial"/>
        <w:b w:val="0"/>
        <w:bCs w:val="0"/>
        <w:i/>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81A"/>
    <w:rsid w:val="00000E34"/>
    <w:rsid w:val="00013325"/>
    <w:rsid w:val="00014D27"/>
    <w:rsid w:val="00022BC8"/>
    <w:rsid w:val="000238B8"/>
    <w:rsid w:val="000248C0"/>
    <w:rsid w:val="00026C8D"/>
    <w:rsid w:val="000272FC"/>
    <w:rsid w:val="000328F0"/>
    <w:rsid w:val="00040C2D"/>
    <w:rsid w:val="00047143"/>
    <w:rsid w:val="000475A5"/>
    <w:rsid w:val="00051518"/>
    <w:rsid w:val="00051F3B"/>
    <w:rsid w:val="000554A8"/>
    <w:rsid w:val="00060175"/>
    <w:rsid w:val="00062E78"/>
    <w:rsid w:val="000778AD"/>
    <w:rsid w:val="00085CE4"/>
    <w:rsid w:val="000872C6"/>
    <w:rsid w:val="000915F5"/>
    <w:rsid w:val="000971DD"/>
    <w:rsid w:val="000975AF"/>
    <w:rsid w:val="000A3090"/>
    <w:rsid w:val="000B1665"/>
    <w:rsid w:val="000B2B5D"/>
    <w:rsid w:val="000C0F30"/>
    <w:rsid w:val="000C1332"/>
    <w:rsid w:val="000C3952"/>
    <w:rsid w:val="000D12F0"/>
    <w:rsid w:val="000D3EB5"/>
    <w:rsid w:val="000D4B91"/>
    <w:rsid w:val="000E1E3A"/>
    <w:rsid w:val="000E77F3"/>
    <w:rsid w:val="000F0584"/>
    <w:rsid w:val="000F0EF4"/>
    <w:rsid w:val="000F1334"/>
    <w:rsid w:val="000F2CE3"/>
    <w:rsid w:val="00101F2A"/>
    <w:rsid w:val="00103CD2"/>
    <w:rsid w:val="00105149"/>
    <w:rsid w:val="00110398"/>
    <w:rsid w:val="00110CEE"/>
    <w:rsid w:val="001165BE"/>
    <w:rsid w:val="00122C85"/>
    <w:rsid w:val="001237B8"/>
    <w:rsid w:val="00126ABF"/>
    <w:rsid w:val="00127B8A"/>
    <w:rsid w:val="00131366"/>
    <w:rsid w:val="00131ED2"/>
    <w:rsid w:val="001430F0"/>
    <w:rsid w:val="0014498F"/>
    <w:rsid w:val="00150866"/>
    <w:rsid w:val="0015566F"/>
    <w:rsid w:val="00155BC6"/>
    <w:rsid w:val="00161BF1"/>
    <w:rsid w:val="001649D1"/>
    <w:rsid w:val="00170D27"/>
    <w:rsid w:val="00180B61"/>
    <w:rsid w:val="00181778"/>
    <w:rsid w:val="00181ECB"/>
    <w:rsid w:val="00182220"/>
    <w:rsid w:val="0018307E"/>
    <w:rsid w:val="001933BE"/>
    <w:rsid w:val="00196490"/>
    <w:rsid w:val="001A6C7C"/>
    <w:rsid w:val="001C419F"/>
    <w:rsid w:val="001C6762"/>
    <w:rsid w:val="001D0023"/>
    <w:rsid w:val="001D2930"/>
    <w:rsid w:val="001E472B"/>
    <w:rsid w:val="001E7EB3"/>
    <w:rsid w:val="001F30D2"/>
    <w:rsid w:val="001F5E43"/>
    <w:rsid w:val="00210369"/>
    <w:rsid w:val="00210485"/>
    <w:rsid w:val="002104BE"/>
    <w:rsid w:val="00212F5D"/>
    <w:rsid w:val="002133B3"/>
    <w:rsid w:val="00213B18"/>
    <w:rsid w:val="002162C4"/>
    <w:rsid w:val="00216A57"/>
    <w:rsid w:val="00224BE9"/>
    <w:rsid w:val="0022613C"/>
    <w:rsid w:val="0023135F"/>
    <w:rsid w:val="00240229"/>
    <w:rsid w:val="00243A97"/>
    <w:rsid w:val="0024447A"/>
    <w:rsid w:val="0026200A"/>
    <w:rsid w:val="0026229D"/>
    <w:rsid w:val="0026264C"/>
    <w:rsid w:val="00265A8A"/>
    <w:rsid w:val="0028040E"/>
    <w:rsid w:val="00280851"/>
    <w:rsid w:val="00281452"/>
    <w:rsid w:val="00293ECA"/>
    <w:rsid w:val="002954F4"/>
    <w:rsid w:val="00297608"/>
    <w:rsid w:val="00297F1C"/>
    <w:rsid w:val="002B5781"/>
    <w:rsid w:val="002C199A"/>
    <w:rsid w:val="002C3271"/>
    <w:rsid w:val="002C3628"/>
    <w:rsid w:val="002C4510"/>
    <w:rsid w:val="002C5E69"/>
    <w:rsid w:val="002D3E9D"/>
    <w:rsid w:val="002D47CD"/>
    <w:rsid w:val="002D53C3"/>
    <w:rsid w:val="002D5E2E"/>
    <w:rsid w:val="002E134C"/>
    <w:rsid w:val="002E3361"/>
    <w:rsid w:val="002E5048"/>
    <w:rsid w:val="002E706F"/>
    <w:rsid w:val="002F1F2D"/>
    <w:rsid w:val="002F2BAF"/>
    <w:rsid w:val="002F6E14"/>
    <w:rsid w:val="0031475F"/>
    <w:rsid w:val="00314C68"/>
    <w:rsid w:val="00316D1A"/>
    <w:rsid w:val="00317AAA"/>
    <w:rsid w:val="0033021C"/>
    <w:rsid w:val="00335455"/>
    <w:rsid w:val="0034115D"/>
    <w:rsid w:val="00344543"/>
    <w:rsid w:val="00353FCA"/>
    <w:rsid w:val="00360FAD"/>
    <w:rsid w:val="00362A38"/>
    <w:rsid w:val="00365F27"/>
    <w:rsid w:val="00367599"/>
    <w:rsid w:val="00371B93"/>
    <w:rsid w:val="0037353A"/>
    <w:rsid w:val="0037457A"/>
    <w:rsid w:val="00375F71"/>
    <w:rsid w:val="00380C48"/>
    <w:rsid w:val="00381047"/>
    <w:rsid w:val="00385D21"/>
    <w:rsid w:val="003A16ED"/>
    <w:rsid w:val="003A5421"/>
    <w:rsid w:val="003A574B"/>
    <w:rsid w:val="003B22BF"/>
    <w:rsid w:val="003B756D"/>
    <w:rsid w:val="003C6094"/>
    <w:rsid w:val="003D1ECF"/>
    <w:rsid w:val="003E01CC"/>
    <w:rsid w:val="003E0645"/>
    <w:rsid w:val="003E20C1"/>
    <w:rsid w:val="00402699"/>
    <w:rsid w:val="0040281A"/>
    <w:rsid w:val="004075C8"/>
    <w:rsid w:val="00407697"/>
    <w:rsid w:val="00411312"/>
    <w:rsid w:val="0041482A"/>
    <w:rsid w:val="004259DD"/>
    <w:rsid w:val="00433026"/>
    <w:rsid w:val="00433A2A"/>
    <w:rsid w:val="00435390"/>
    <w:rsid w:val="00441C39"/>
    <w:rsid w:val="00443C8C"/>
    <w:rsid w:val="00445154"/>
    <w:rsid w:val="004532C9"/>
    <w:rsid w:val="00456FB6"/>
    <w:rsid w:val="00462BF0"/>
    <w:rsid w:val="004638A4"/>
    <w:rsid w:val="00467DEA"/>
    <w:rsid w:val="004752B2"/>
    <w:rsid w:val="00480822"/>
    <w:rsid w:val="00487F14"/>
    <w:rsid w:val="004965A6"/>
    <w:rsid w:val="004A0CA5"/>
    <w:rsid w:val="004A3276"/>
    <w:rsid w:val="004A4083"/>
    <w:rsid w:val="004B250B"/>
    <w:rsid w:val="004B684D"/>
    <w:rsid w:val="004C289D"/>
    <w:rsid w:val="004C4134"/>
    <w:rsid w:val="004D169D"/>
    <w:rsid w:val="004D4DCA"/>
    <w:rsid w:val="004D5720"/>
    <w:rsid w:val="004D6DB2"/>
    <w:rsid w:val="004F73F2"/>
    <w:rsid w:val="0050433E"/>
    <w:rsid w:val="005048D0"/>
    <w:rsid w:val="00512119"/>
    <w:rsid w:val="00512E29"/>
    <w:rsid w:val="005130A5"/>
    <w:rsid w:val="00525CB6"/>
    <w:rsid w:val="00532303"/>
    <w:rsid w:val="00532679"/>
    <w:rsid w:val="00535602"/>
    <w:rsid w:val="00545DFA"/>
    <w:rsid w:val="005575E9"/>
    <w:rsid w:val="00557839"/>
    <w:rsid w:val="005703E3"/>
    <w:rsid w:val="0057249E"/>
    <w:rsid w:val="00573AF3"/>
    <w:rsid w:val="00573C7D"/>
    <w:rsid w:val="005765D9"/>
    <w:rsid w:val="00580227"/>
    <w:rsid w:val="00581DC6"/>
    <w:rsid w:val="00584661"/>
    <w:rsid w:val="00586E23"/>
    <w:rsid w:val="00587626"/>
    <w:rsid w:val="005A2D9F"/>
    <w:rsid w:val="005A3ABA"/>
    <w:rsid w:val="005B3EF2"/>
    <w:rsid w:val="005B4757"/>
    <w:rsid w:val="005B48BC"/>
    <w:rsid w:val="005C5F35"/>
    <w:rsid w:val="005D3ACA"/>
    <w:rsid w:val="005D6F40"/>
    <w:rsid w:val="005E0459"/>
    <w:rsid w:val="005E58AB"/>
    <w:rsid w:val="005E670F"/>
    <w:rsid w:val="005F3302"/>
    <w:rsid w:val="005F55F2"/>
    <w:rsid w:val="005F6C63"/>
    <w:rsid w:val="00601292"/>
    <w:rsid w:val="00607421"/>
    <w:rsid w:val="006112DC"/>
    <w:rsid w:val="0061215F"/>
    <w:rsid w:val="00612D1B"/>
    <w:rsid w:val="00613B52"/>
    <w:rsid w:val="00617F1F"/>
    <w:rsid w:val="00620B86"/>
    <w:rsid w:val="00631719"/>
    <w:rsid w:val="00632531"/>
    <w:rsid w:val="006342E6"/>
    <w:rsid w:val="00635429"/>
    <w:rsid w:val="0064511B"/>
    <w:rsid w:val="00646470"/>
    <w:rsid w:val="00651F2C"/>
    <w:rsid w:val="00654BBE"/>
    <w:rsid w:val="00655BB7"/>
    <w:rsid w:val="00657255"/>
    <w:rsid w:val="006630B1"/>
    <w:rsid w:val="0066426F"/>
    <w:rsid w:val="0066551A"/>
    <w:rsid w:val="006660B9"/>
    <w:rsid w:val="006663A2"/>
    <w:rsid w:val="006736DA"/>
    <w:rsid w:val="00690E5D"/>
    <w:rsid w:val="0069550E"/>
    <w:rsid w:val="00695FAE"/>
    <w:rsid w:val="006A5069"/>
    <w:rsid w:val="006A5255"/>
    <w:rsid w:val="006A73B7"/>
    <w:rsid w:val="006C1716"/>
    <w:rsid w:val="006C2ED2"/>
    <w:rsid w:val="006C5CA5"/>
    <w:rsid w:val="006D2C07"/>
    <w:rsid w:val="006E51D6"/>
    <w:rsid w:val="006F4428"/>
    <w:rsid w:val="006F7687"/>
    <w:rsid w:val="00700849"/>
    <w:rsid w:val="00700E60"/>
    <w:rsid w:val="00703450"/>
    <w:rsid w:val="00710A40"/>
    <w:rsid w:val="007115E6"/>
    <w:rsid w:val="00711EFE"/>
    <w:rsid w:val="00717144"/>
    <w:rsid w:val="007177ED"/>
    <w:rsid w:val="00717E89"/>
    <w:rsid w:val="007230A3"/>
    <w:rsid w:val="00727BA7"/>
    <w:rsid w:val="00731A0D"/>
    <w:rsid w:val="00732F88"/>
    <w:rsid w:val="007336CA"/>
    <w:rsid w:val="007341B3"/>
    <w:rsid w:val="007352B0"/>
    <w:rsid w:val="0074195E"/>
    <w:rsid w:val="00743890"/>
    <w:rsid w:val="00745628"/>
    <w:rsid w:val="007569A2"/>
    <w:rsid w:val="00757C8D"/>
    <w:rsid w:val="007617EE"/>
    <w:rsid w:val="00767B99"/>
    <w:rsid w:val="007731B3"/>
    <w:rsid w:val="00775B40"/>
    <w:rsid w:val="00787537"/>
    <w:rsid w:val="007A4386"/>
    <w:rsid w:val="007C47E6"/>
    <w:rsid w:val="007D0BBE"/>
    <w:rsid w:val="007D16B1"/>
    <w:rsid w:val="007D282F"/>
    <w:rsid w:val="007E1F4D"/>
    <w:rsid w:val="007E2080"/>
    <w:rsid w:val="007E26D0"/>
    <w:rsid w:val="007E30D7"/>
    <w:rsid w:val="007E5A6F"/>
    <w:rsid w:val="007E6B41"/>
    <w:rsid w:val="007F1E86"/>
    <w:rsid w:val="007F1E90"/>
    <w:rsid w:val="008015F6"/>
    <w:rsid w:val="008020F9"/>
    <w:rsid w:val="00803B16"/>
    <w:rsid w:val="00803C2F"/>
    <w:rsid w:val="00803F54"/>
    <w:rsid w:val="0080659E"/>
    <w:rsid w:val="00812183"/>
    <w:rsid w:val="008147BA"/>
    <w:rsid w:val="00815074"/>
    <w:rsid w:val="008229E8"/>
    <w:rsid w:val="00822BCF"/>
    <w:rsid w:val="00825106"/>
    <w:rsid w:val="0083552B"/>
    <w:rsid w:val="00837659"/>
    <w:rsid w:val="00837FEE"/>
    <w:rsid w:val="0084236F"/>
    <w:rsid w:val="008430D9"/>
    <w:rsid w:val="008447A2"/>
    <w:rsid w:val="00872F82"/>
    <w:rsid w:val="0087345B"/>
    <w:rsid w:val="00873713"/>
    <w:rsid w:val="00880DE7"/>
    <w:rsid w:val="00882C1D"/>
    <w:rsid w:val="00882D96"/>
    <w:rsid w:val="008907E1"/>
    <w:rsid w:val="00891500"/>
    <w:rsid w:val="0089543B"/>
    <w:rsid w:val="00895FF4"/>
    <w:rsid w:val="008A6C57"/>
    <w:rsid w:val="008B1362"/>
    <w:rsid w:val="008B229B"/>
    <w:rsid w:val="008B3C01"/>
    <w:rsid w:val="008B4F8F"/>
    <w:rsid w:val="008B6AC8"/>
    <w:rsid w:val="008C0A92"/>
    <w:rsid w:val="008C5FE1"/>
    <w:rsid w:val="008D1D6A"/>
    <w:rsid w:val="008D68D5"/>
    <w:rsid w:val="008E23C1"/>
    <w:rsid w:val="008E2918"/>
    <w:rsid w:val="008E34DD"/>
    <w:rsid w:val="008F3005"/>
    <w:rsid w:val="008F3CC4"/>
    <w:rsid w:val="008F3F1C"/>
    <w:rsid w:val="008F5F0A"/>
    <w:rsid w:val="008F684D"/>
    <w:rsid w:val="0090261E"/>
    <w:rsid w:val="00907362"/>
    <w:rsid w:val="009105A4"/>
    <w:rsid w:val="009149AB"/>
    <w:rsid w:val="009150AC"/>
    <w:rsid w:val="00921D58"/>
    <w:rsid w:val="00925CAD"/>
    <w:rsid w:val="00925D62"/>
    <w:rsid w:val="009269A1"/>
    <w:rsid w:val="009278C5"/>
    <w:rsid w:val="00930796"/>
    <w:rsid w:val="00937282"/>
    <w:rsid w:val="00944231"/>
    <w:rsid w:val="00945125"/>
    <w:rsid w:val="00946293"/>
    <w:rsid w:val="009500B2"/>
    <w:rsid w:val="00951160"/>
    <w:rsid w:val="009532D9"/>
    <w:rsid w:val="00953965"/>
    <w:rsid w:val="00953F05"/>
    <w:rsid w:val="0096352E"/>
    <w:rsid w:val="009710E6"/>
    <w:rsid w:val="00972600"/>
    <w:rsid w:val="009754AA"/>
    <w:rsid w:val="0098187D"/>
    <w:rsid w:val="00981B3A"/>
    <w:rsid w:val="0098470F"/>
    <w:rsid w:val="00990510"/>
    <w:rsid w:val="00991B5B"/>
    <w:rsid w:val="00993199"/>
    <w:rsid w:val="00997834"/>
    <w:rsid w:val="009A38C7"/>
    <w:rsid w:val="009A555D"/>
    <w:rsid w:val="009B0725"/>
    <w:rsid w:val="009B0F10"/>
    <w:rsid w:val="009D202A"/>
    <w:rsid w:val="009E124F"/>
    <w:rsid w:val="009E3197"/>
    <w:rsid w:val="009F11F2"/>
    <w:rsid w:val="009F18C6"/>
    <w:rsid w:val="009F45EF"/>
    <w:rsid w:val="00A023B6"/>
    <w:rsid w:val="00A0624A"/>
    <w:rsid w:val="00A06A63"/>
    <w:rsid w:val="00A13990"/>
    <w:rsid w:val="00A14C2B"/>
    <w:rsid w:val="00A16B02"/>
    <w:rsid w:val="00A17C3B"/>
    <w:rsid w:val="00A22E7E"/>
    <w:rsid w:val="00A26ABF"/>
    <w:rsid w:val="00A26F42"/>
    <w:rsid w:val="00A4062D"/>
    <w:rsid w:val="00A4157A"/>
    <w:rsid w:val="00A420DC"/>
    <w:rsid w:val="00A431CD"/>
    <w:rsid w:val="00A4640C"/>
    <w:rsid w:val="00A555E5"/>
    <w:rsid w:val="00A656C5"/>
    <w:rsid w:val="00A70336"/>
    <w:rsid w:val="00A71F28"/>
    <w:rsid w:val="00A819AB"/>
    <w:rsid w:val="00A81C5A"/>
    <w:rsid w:val="00A81CB2"/>
    <w:rsid w:val="00A8255C"/>
    <w:rsid w:val="00A82FB0"/>
    <w:rsid w:val="00A83394"/>
    <w:rsid w:val="00A87AE0"/>
    <w:rsid w:val="00A90225"/>
    <w:rsid w:val="00A908CE"/>
    <w:rsid w:val="00A93F54"/>
    <w:rsid w:val="00AA6A63"/>
    <w:rsid w:val="00AA714F"/>
    <w:rsid w:val="00AB33F3"/>
    <w:rsid w:val="00AB60A4"/>
    <w:rsid w:val="00AC1AEB"/>
    <w:rsid w:val="00AE2800"/>
    <w:rsid w:val="00AE3963"/>
    <w:rsid w:val="00AE6997"/>
    <w:rsid w:val="00AE6A0A"/>
    <w:rsid w:val="00AE7A68"/>
    <w:rsid w:val="00AF1199"/>
    <w:rsid w:val="00AF5099"/>
    <w:rsid w:val="00AF7089"/>
    <w:rsid w:val="00AF73AA"/>
    <w:rsid w:val="00B02123"/>
    <w:rsid w:val="00B05373"/>
    <w:rsid w:val="00B05781"/>
    <w:rsid w:val="00B067C0"/>
    <w:rsid w:val="00B11C54"/>
    <w:rsid w:val="00B21413"/>
    <w:rsid w:val="00B2502B"/>
    <w:rsid w:val="00B26F5B"/>
    <w:rsid w:val="00B26FCC"/>
    <w:rsid w:val="00B37DC0"/>
    <w:rsid w:val="00B40EF0"/>
    <w:rsid w:val="00B4120A"/>
    <w:rsid w:val="00B431EB"/>
    <w:rsid w:val="00B4678F"/>
    <w:rsid w:val="00B50E29"/>
    <w:rsid w:val="00B51FA9"/>
    <w:rsid w:val="00B52207"/>
    <w:rsid w:val="00B52DEF"/>
    <w:rsid w:val="00B57218"/>
    <w:rsid w:val="00B641E0"/>
    <w:rsid w:val="00B66A37"/>
    <w:rsid w:val="00B66FE2"/>
    <w:rsid w:val="00B702F1"/>
    <w:rsid w:val="00B7085D"/>
    <w:rsid w:val="00B8132A"/>
    <w:rsid w:val="00B83DED"/>
    <w:rsid w:val="00B8769A"/>
    <w:rsid w:val="00B928BD"/>
    <w:rsid w:val="00BB239B"/>
    <w:rsid w:val="00BB559A"/>
    <w:rsid w:val="00BC31E5"/>
    <w:rsid w:val="00BC756B"/>
    <w:rsid w:val="00BD035C"/>
    <w:rsid w:val="00BD1B9A"/>
    <w:rsid w:val="00BE6FEE"/>
    <w:rsid w:val="00BE7EE6"/>
    <w:rsid w:val="00C134DE"/>
    <w:rsid w:val="00C227C5"/>
    <w:rsid w:val="00C30F60"/>
    <w:rsid w:val="00C36097"/>
    <w:rsid w:val="00C407BB"/>
    <w:rsid w:val="00C4149F"/>
    <w:rsid w:val="00C41781"/>
    <w:rsid w:val="00C43AC9"/>
    <w:rsid w:val="00C43D1D"/>
    <w:rsid w:val="00C44CA0"/>
    <w:rsid w:val="00C46400"/>
    <w:rsid w:val="00C47297"/>
    <w:rsid w:val="00C51675"/>
    <w:rsid w:val="00C5414F"/>
    <w:rsid w:val="00C5442F"/>
    <w:rsid w:val="00C56F3F"/>
    <w:rsid w:val="00C5789D"/>
    <w:rsid w:val="00C607D0"/>
    <w:rsid w:val="00C62039"/>
    <w:rsid w:val="00C6635A"/>
    <w:rsid w:val="00C66BD2"/>
    <w:rsid w:val="00C67A74"/>
    <w:rsid w:val="00C71CF9"/>
    <w:rsid w:val="00C73D50"/>
    <w:rsid w:val="00C74656"/>
    <w:rsid w:val="00C77E7A"/>
    <w:rsid w:val="00C823FE"/>
    <w:rsid w:val="00C83CEE"/>
    <w:rsid w:val="00C857D9"/>
    <w:rsid w:val="00C907B1"/>
    <w:rsid w:val="00CA18BB"/>
    <w:rsid w:val="00CB04FB"/>
    <w:rsid w:val="00CC1116"/>
    <w:rsid w:val="00CC2AD6"/>
    <w:rsid w:val="00CD1D33"/>
    <w:rsid w:val="00CD3A0A"/>
    <w:rsid w:val="00CD4BBF"/>
    <w:rsid w:val="00CD4C2F"/>
    <w:rsid w:val="00CE03F9"/>
    <w:rsid w:val="00CE1641"/>
    <w:rsid w:val="00CE4C7D"/>
    <w:rsid w:val="00D13881"/>
    <w:rsid w:val="00D13D23"/>
    <w:rsid w:val="00D26E3F"/>
    <w:rsid w:val="00D449CA"/>
    <w:rsid w:val="00D4643E"/>
    <w:rsid w:val="00D50C67"/>
    <w:rsid w:val="00D50E3F"/>
    <w:rsid w:val="00D554CE"/>
    <w:rsid w:val="00D56BE7"/>
    <w:rsid w:val="00D63E25"/>
    <w:rsid w:val="00D65D44"/>
    <w:rsid w:val="00D71D7F"/>
    <w:rsid w:val="00D72E6C"/>
    <w:rsid w:val="00D90562"/>
    <w:rsid w:val="00D92958"/>
    <w:rsid w:val="00D94849"/>
    <w:rsid w:val="00D97400"/>
    <w:rsid w:val="00DA39B9"/>
    <w:rsid w:val="00DC00AA"/>
    <w:rsid w:val="00DC386F"/>
    <w:rsid w:val="00DC42FC"/>
    <w:rsid w:val="00DC6B47"/>
    <w:rsid w:val="00DC7BEE"/>
    <w:rsid w:val="00DD04A4"/>
    <w:rsid w:val="00DD3CD8"/>
    <w:rsid w:val="00DE0356"/>
    <w:rsid w:val="00DE0793"/>
    <w:rsid w:val="00DF108D"/>
    <w:rsid w:val="00DF181F"/>
    <w:rsid w:val="00E02420"/>
    <w:rsid w:val="00E03DD5"/>
    <w:rsid w:val="00E06801"/>
    <w:rsid w:val="00E13177"/>
    <w:rsid w:val="00E14B5C"/>
    <w:rsid w:val="00E20639"/>
    <w:rsid w:val="00E27FB1"/>
    <w:rsid w:val="00E321C6"/>
    <w:rsid w:val="00E371BC"/>
    <w:rsid w:val="00E44315"/>
    <w:rsid w:val="00E457E2"/>
    <w:rsid w:val="00E47272"/>
    <w:rsid w:val="00E5085A"/>
    <w:rsid w:val="00E5647A"/>
    <w:rsid w:val="00E65F2C"/>
    <w:rsid w:val="00E73A02"/>
    <w:rsid w:val="00E75A4F"/>
    <w:rsid w:val="00E838EC"/>
    <w:rsid w:val="00E85C49"/>
    <w:rsid w:val="00E86269"/>
    <w:rsid w:val="00E90A51"/>
    <w:rsid w:val="00E92228"/>
    <w:rsid w:val="00E954B4"/>
    <w:rsid w:val="00E97C50"/>
    <w:rsid w:val="00EA612F"/>
    <w:rsid w:val="00ED2506"/>
    <w:rsid w:val="00ED33B4"/>
    <w:rsid w:val="00ED5AD5"/>
    <w:rsid w:val="00ED6F00"/>
    <w:rsid w:val="00EE0266"/>
    <w:rsid w:val="00EF0D9B"/>
    <w:rsid w:val="00EF0D9F"/>
    <w:rsid w:val="00EF1DB2"/>
    <w:rsid w:val="00F00747"/>
    <w:rsid w:val="00F13F86"/>
    <w:rsid w:val="00F15D83"/>
    <w:rsid w:val="00F23413"/>
    <w:rsid w:val="00F25B2E"/>
    <w:rsid w:val="00F36BF2"/>
    <w:rsid w:val="00F4222F"/>
    <w:rsid w:val="00F5644D"/>
    <w:rsid w:val="00F656ED"/>
    <w:rsid w:val="00F65B67"/>
    <w:rsid w:val="00F65E24"/>
    <w:rsid w:val="00F66412"/>
    <w:rsid w:val="00F66B36"/>
    <w:rsid w:val="00F67DD0"/>
    <w:rsid w:val="00F7095C"/>
    <w:rsid w:val="00F73C3E"/>
    <w:rsid w:val="00F75278"/>
    <w:rsid w:val="00F757FC"/>
    <w:rsid w:val="00F77606"/>
    <w:rsid w:val="00F83651"/>
    <w:rsid w:val="00F8376B"/>
    <w:rsid w:val="00F96DCF"/>
    <w:rsid w:val="00FA0F92"/>
    <w:rsid w:val="00FA2BE0"/>
    <w:rsid w:val="00FA69F6"/>
    <w:rsid w:val="00FB2426"/>
    <w:rsid w:val="00FB4388"/>
    <w:rsid w:val="00FB53EB"/>
    <w:rsid w:val="00FB7D04"/>
    <w:rsid w:val="00FC339B"/>
    <w:rsid w:val="00FC5886"/>
    <w:rsid w:val="00FC6562"/>
    <w:rsid w:val="00FD1484"/>
    <w:rsid w:val="00FD1E05"/>
    <w:rsid w:val="00FD4A55"/>
    <w:rsid w:val="00FE0897"/>
    <w:rsid w:val="00FE5B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64B936C-2BD4-4C3F-A23B-DB70986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A"/>
    <w:pPr>
      <w:widowControl w:val="0"/>
    </w:pPr>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uiPriority w:val="99"/>
    <w:locked/>
    <w:rsid w:val="0040281A"/>
    <w:rPr>
      <w:rFonts w:ascii="Arial" w:eastAsia="Times New Roman" w:hAnsi="Arial" w:cs="Arial"/>
      <w:sz w:val="16"/>
      <w:szCs w:val="16"/>
      <w:u w:val="none"/>
    </w:rPr>
  </w:style>
  <w:style w:type="character" w:customStyle="1" w:styleId="Footnote0">
    <w:name w:val="Footnote"/>
    <w:basedOn w:val="Footnote"/>
    <w:uiPriority w:val="99"/>
    <w:rsid w:val="0040281A"/>
    <w:rPr>
      <w:rFonts w:ascii="Arial" w:eastAsia="Times New Roman" w:hAnsi="Arial" w:cs="Arial"/>
      <w:color w:val="0000FF"/>
      <w:spacing w:val="0"/>
      <w:w w:val="100"/>
      <w:position w:val="0"/>
      <w:sz w:val="16"/>
      <w:szCs w:val="16"/>
      <w:u w:val="single"/>
      <w:lang w:val="en-US" w:eastAsia="en-US"/>
    </w:rPr>
  </w:style>
  <w:style w:type="character" w:customStyle="1" w:styleId="FootnoteItalic">
    <w:name w:val="Footnote + Italic"/>
    <w:basedOn w:val="Footnote"/>
    <w:uiPriority w:val="99"/>
    <w:rsid w:val="0040281A"/>
    <w:rPr>
      <w:rFonts w:ascii="Arial" w:eastAsia="Times New Roman" w:hAnsi="Arial" w:cs="Arial"/>
      <w:i/>
      <w:iCs/>
      <w:color w:val="000000"/>
      <w:spacing w:val="0"/>
      <w:w w:val="100"/>
      <w:position w:val="0"/>
      <w:sz w:val="16"/>
      <w:szCs w:val="16"/>
      <w:u w:val="none"/>
      <w:lang w:val="en-US" w:eastAsia="en-US"/>
    </w:rPr>
  </w:style>
  <w:style w:type="character" w:customStyle="1" w:styleId="Footnote2">
    <w:name w:val="Footnote (2)_"/>
    <w:basedOn w:val="DefaultParagraphFont"/>
    <w:link w:val="Footnote21"/>
    <w:uiPriority w:val="99"/>
    <w:locked/>
    <w:rsid w:val="0040281A"/>
    <w:rPr>
      <w:rFonts w:ascii="Arial" w:eastAsia="Times New Roman" w:hAnsi="Arial" w:cs="Arial"/>
      <w:i/>
      <w:iCs/>
      <w:sz w:val="16"/>
      <w:szCs w:val="16"/>
      <w:u w:val="none"/>
    </w:rPr>
  </w:style>
  <w:style w:type="character" w:customStyle="1" w:styleId="Footnote2NotItalic">
    <w:name w:val="Footnote (2) + Not Italic"/>
    <w:basedOn w:val="Footnote2"/>
    <w:uiPriority w:val="99"/>
    <w:rsid w:val="0040281A"/>
    <w:rPr>
      <w:rFonts w:ascii="Arial" w:eastAsia="Times New Roman" w:hAnsi="Arial" w:cs="Arial"/>
      <w:i/>
      <w:iCs/>
      <w:color w:val="000000"/>
      <w:spacing w:val="0"/>
      <w:w w:val="100"/>
      <w:position w:val="0"/>
      <w:sz w:val="16"/>
      <w:szCs w:val="16"/>
      <w:u w:val="none"/>
      <w:lang w:val="en-US" w:eastAsia="en-US"/>
    </w:rPr>
  </w:style>
  <w:style w:type="character" w:customStyle="1" w:styleId="Footnote20">
    <w:name w:val="Footnote (2)"/>
    <w:basedOn w:val="Footnote2"/>
    <w:uiPriority w:val="99"/>
    <w:rsid w:val="0040281A"/>
    <w:rPr>
      <w:rFonts w:ascii="Arial" w:eastAsia="Times New Roman" w:hAnsi="Arial" w:cs="Arial"/>
      <w:i/>
      <w:iCs/>
      <w:color w:val="0000FF"/>
      <w:spacing w:val="0"/>
      <w:w w:val="100"/>
      <w:position w:val="0"/>
      <w:sz w:val="16"/>
      <w:szCs w:val="16"/>
      <w:u w:val="single"/>
      <w:lang w:val="en-US" w:eastAsia="en-US"/>
    </w:rPr>
  </w:style>
  <w:style w:type="character" w:customStyle="1" w:styleId="Footnote2NotItalic2">
    <w:name w:val="Footnote (2) + Not Italic2"/>
    <w:basedOn w:val="Footnote2"/>
    <w:uiPriority w:val="99"/>
    <w:rsid w:val="0040281A"/>
    <w:rPr>
      <w:rFonts w:ascii="Arial" w:eastAsia="Times New Roman" w:hAnsi="Arial" w:cs="Arial"/>
      <w:i/>
      <w:iCs/>
      <w:color w:val="0000FF"/>
      <w:spacing w:val="0"/>
      <w:w w:val="100"/>
      <w:position w:val="0"/>
      <w:sz w:val="16"/>
      <w:szCs w:val="16"/>
      <w:u w:val="none"/>
      <w:lang w:val="en-US" w:eastAsia="en-US"/>
    </w:rPr>
  </w:style>
  <w:style w:type="character" w:customStyle="1" w:styleId="FootnoteItalic1">
    <w:name w:val="Footnote + Italic1"/>
    <w:basedOn w:val="Footnote"/>
    <w:uiPriority w:val="99"/>
    <w:rsid w:val="0040281A"/>
    <w:rPr>
      <w:rFonts w:ascii="Arial" w:eastAsia="Times New Roman" w:hAnsi="Arial" w:cs="Arial"/>
      <w:i/>
      <w:iCs/>
      <w:color w:val="0000FF"/>
      <w:spacing w:val="0"/>
      <w:w w:val="100"/>
      <w:position w:val="0"/>
      <w:sz w:val="16"/>
      <w:szCs w:val="16"/>
      <w:u w:val="single"/>
      <w:lang w:val="en-US" w:eastAsia="en-US"/>
    </w:rPr>
  </w:style>
  <w:style w:type="character" w:customStyle="1" w:styleId="Footnote22">
    <w:name w:val="Footnote2"/>
    <w:basedOn w:val="Footnote"/>
    <w:uiPriority w:val="99"/>
    <w:rsid w:val="0040281A"/>
    <w:rPr>
      <w:rFonts w:ascii="Arial" w:eastAsia="Times New Roman" w:hAnsi="Arial" w:cs="Arial"/>
      <w:color w:val="0000FF"/>
      <w:spacing w:val="0"/>
      <w:w w:val="100"/>
      <w:position w:val="0"/>
      <w:sz w:val="16"/>
      <w:szCs w:val="16"/>
      <w:u w:val="none"/>
      <w:lang w:val="en-US" w:eastAsia="en-US"/>
    </w:rPr>
  </w:style>
  <w:style w:type="character" w:customStyle="1" w:styleId="FootnoteSmallCaps">
    <w:name w:val="Footnote + Small Caps"/>
    <w:basedOn w:val="Footnote"/>
    <w:uiPriority w:val="99"/>
    <w:rsid w:val="0040281A"/>
    <w:rPr>
      <w:rFonts w:ascii="Arial" w:eastAsia="Times New Roman" w:hAnsi="Arial" w:cs="Arial"/>
      <w:smallCaps/>
      <w:color w:val="000000"/>
      <w:spacing w:val="0"/>
      <w:w w:val="100"/>
      <w:position w:val="0"/>
      <w:sz w:val="16"/>
      <w:szCs w:val="16"/>
      <w:u w:val="none"/>
      <w:lang w:val="en-US" w:eastAsia="en-US"/>
    </w:rPr>
  </w:style>
  <w:style w:type="character" w:customStyle="1" w:styleId="Footnote2NotItalic1">
    <w:name w:val="Footnote (2) + Not Italic1"/>
    <w:basedOn w:val="Footnote2"/>
    <w:uiPriority w:val="99"/>
    <w:rsid w:val="0040281A"/>
    <w:rPr>
      <w:rFonts w:ascii="Arial" w:eastAsia="Times New Roman" w:hAnsi="Arial" w:cs="Arial"/>
      <w:i/>
      <w:iCs/>
      <w:color w:val="0000FF"/>
      <w:spacing w:val="0"/>
      <w:w w:val="100"/>
      <w:position w:val="0"/>
      <w:sz w:val="16"/>
      <w:szCs w:val="16"/>
      <w:u w:val="single"/>
      <w:lang w:val="en-US" w:eastAsia="en-US"/>
    </w:rPr>
  </w:style>
  <w:style w:type="character" w:customStyle="1" w:styleId="Bodytext2">
    <w:name w:val="Body text (2)_"/>
    <w:basedOn w:val="DefaultParagraphFont"/>
    <w:link w:val="Bodytext21"/>
    <w:uiPriority w:val="99"/>
    <w:locked/>
    <w:rsid w:val="0040281A"/>
    <w:rPr>
      <w:rFonts w:ascii="Arial" w:eastAsia="Times New Roman" w:hAnsi="Arial" w:cs="Arial"/>
      <w:sz w:val="20"/>
      <w:szCs w:val="20"/>
      <w:u w:val="none"/>
    </w:rPr>
  </w:style>
  <w:style w:type="character" w:customStyle="1" w:styleId="Bodytext2Bold">
    <w:name w:val="Body text (2) + Bold"/>
    <w:basedOn w:val="Bodytext2"/>
    <w:uiPriority w:val="99"/>
    <w:rsid w:val="0040281A"/>
    <w:rPr>
      <w:rFonts w:ascii="Arial" w:eastAsia="Times New Roman" w:hAnsi="Arial" w:cs="Arial"/>
      <w:b/>
      <w:bCs/>
      <w:color w:val="343398"/>
      <w:spacing w:val="0"/>
      <w:w w:val="100"/>
      <w:position w:val="0"/>
      <w:sz w:val="20"/>
      <w:szCs w:val="20"/>
      <w:u w:val="none"/>
      <w:lang w:val="en-US" w:eastAsia="en-US"/>
    </w:rPr>
  </w:style>
  <w:style w:type="character" w:customStyle="1" w:styleId="Bodytext265pt">
    <w:name w:val="Body text (2) + 6.5 pt"/>
    <w:aliases w:val="Italic"/>
    <w:basedOn w:val="Bodytext2"/>
    <w:uiPriority w:val="99"/>
    <w:rsid w:val="0040281A"/>
    <w:rPr>
      <w:rFonts w:ascii="Arial" w:eastAsia="Times New Roman" w:hAnsi="Arial" w:cs="Arial"/>
      <w:i/>
      <w:iCs/>
      <w:color w:val="343398"/>
      <w:spacing w:val="0"/>
      <w:w w:val="100"/>
      <w:position w:val="0"/>
      <w:sz w:val="13"/>
      <w:szCs w:val="13"/>
      <w:u w:val="none"/>
      <w:lang w:val="en-US" w:eastAsia="en-US"/>
    </w:rPr>
  </w:style>
  <w:style w:type="character" w:customStyle="1" w:styleId="Bodytext28pt">
    <w:name w:val="Body text (2) + 8 pt"/>
    <w:basedOn w:val="Bodytext2"/>
    <w:uiPriority w:val="99"/>
    <w:rsid w:val="0040281A"/>
    <w:rPr>
      <w:rFonts w:ascii="Arial" w:eastAsia="Times New Roman" w:hAnsi="Arial" w:cs="Arial"/>
      <w:color w:val="343398"/>
      <w:spacing w:val="0"/>
      <w:w w:val="100"/>
      <w:position w:val="0"/>
      <w:sz w:val="16"/>
      <w:szCs w:val="16"/>
      <w:u w:val="none"/>
      <w:lang w:val="en-US" w:eastAsia="en-US"/>
    </w:rPr>
  </w:style>
  <w:style w:type="character" w:customStyle="1" w:styleId="Bodytext28pt1">
    <w:name w:val="Body text (2) + 8 pt1"/>
    <w:basedOn w:val="Bodytext2"/>
    <w:uiPriority w:val="99"/>
    <w:rsid w:val="0040281A"/>
    <w:rPr>
      <w:rFonts w:ascii="Arial" w:eastAsia="Times New Roman" w:hAnsi="Arial" w:cs="Arial"/>
      <w:color w:val="0000FF"/>
      <w:spacing w:val="0"/>
      <w:w w:val="100"/>
      <w:position w:val="0"/>
      <w:sz w:val="16"/>
      <w:szCs w:val="16"/>
      <w:u w:val="none"/>
      <w:lang w:val="en-US" w:eastAsia="en-US"/>
    </w:rPr>
  </w:style>
  <w:style w:type="character" w:customStyle="1" w:styleId="Bodytext226pt">
    <w:name w:val="Body text (2) + 26 pt"/>
    <w:basedOn w:val="Bodytext2"/>
    <w:uiPriority w:val="99"/>
    <w:rsid w:val="0040281A"/>
    <w:rPr>
      <w:rFonts w:ascii="Arial" w:eastAsia="Times New Roman" w:hAnsi="Arial" w:cs="Arial"/>
      <w:b/>
      <w:bCs/>
      <w:color w:val="FFFFFF"/>
      <w:spacing w:val="0"/>
      <w:w w:val="100"/>
      <w:position w:val="0"/>
      <w:sz w:val="52"/>
      <w:szCs w:val="52"/>
      <w:u w:val="none"/>
      <w:lang w:val="en-US" w:eastAsia="en-US"/>
    </w:rPr>
  </w:style>
  <w:style w:type="character" w:customStyle="1" w:styleId="Bodytext2115pt">
    <w:name w:val="Body text (2) + 11.5 pt"/>
    <w:basedOn w:val="Bodytext2"/>
    <w:uiPriority w:val="99"/>
    <w:rsid w:val="0040281A"/>
    <w:rPr>
      <w:rFonts w:ascii="Arial" w:eastAsia="Times New Roman" w:hAnsi="Arial" w:cs="Arial"/>
      <w:color w:val="FFFFFF"/>
      <w:spacing w:val="0"/>
      <w:w w:val="100"/>
      <w:position w:val="0"/>
      <w:sz w:val="23"/>
      <w:szCs w:val="23"/>
      <w:u w:val="none"/>
      <w:lang w:val="en-US" w:eastAsia="en-US"/>
    </w:rPr>
  </w:style>
  <w:style w:type="character" w:customStyle="1" w:styleId="Bodytext2115pt1">
    <w:name w:val="Body text (2) + 11.5 pt1"/>
    <w:aliases w:val="Bold"/>
    <w:basedOn w:val="Bodytext2"/>
    <w:uiPriority w:val="99"/>
    <w:rsid w:val="0040281A"/>
    <w:rPr>
      <w:rFonts w:ascii="Arial" w:eastAsia="Times New Roman" w:hAnsi="Arial" w:cs="Arial"/>
      <w:b/>
      <w:bCs/>
      <w:color w:val="FFFFFF"/>
      <w:spacing w:val="0"/>
      <w:w w:val="100"/>
      <w:position w:val="0"/>
      <w:sz w:val="23"/>
      <w:szCs w:val="23"/>
      <w:u w:val="none"/>
      <w:lang w:val="en-US" w:eastAsia="en-US"/>
    </w:rPr>
  </w:style>
  <w:style w:type="character" w:customStyle="1" w:styleId="Heading1">
    <w:name w:val="Heading #1_"/>
    <w:basedOn w:val="DefaultParagraphFont"/>
    <w:link w:val="Heading10"/>
    <w:uiPriority w:val="99"/>
    <w:locked/>
    <w:rsid w:val="0040281A"/>
    <w:rPr>
      <w:rFonts w:ascii="Arial" w:eastAsia="Times New Roman" w:hAnsi="Arial" w:cs="Arial"/>
      <w:b/>
      <w:bCs/>
      <w:sz w:val="20"/>
      <w:szCs w:val="20"/>
      <w:u w:val="none"/>
    </w:rPr>
  </w:style>
  <w:style w:type="character" w:customStyle="1" w:styleId="Bodytext3">
    <w:name w:val="Body text (3)_"/>
    <w:basedOn w:val="DefaultParagraphFont"/>
    <w:link w:val="Bodytext31"/>
    <w:uiPriority w:val="99"/>
    <w:locked/>
    <w:rsid w:val="0040281A"/>
    <w:rPr>
      <w:rFonts w:ascii="Arial" w:eastAsia="Times New Roman" w:hAnsi="Arial" w:cs="Arial"/>
      <w:i/>
      <w:iCs/>
      <w:sz w:val="20"/>
      <w:szCs w:val="20"/>
      <w:u w:val="none"/>
    </w:rPr>
  </w:style>
  <w:style w:type="character" w:customStyle="1" w:styleId="Bodytext2Bold1">
    <w:name w:val="Body text (2) + Bold1"/>
    <w:basedOn w:val="Bodytext2"/>
    <w:uiPriority w:val="99"/>
    <w:rsid w:val="0040281A"/>
    <w:rPr>
      <w:rFonts w:ascii="Arial" w:eastAsia="Times New Roman" w:hAnsi="Arial" w:cs="Arial"/>
      <w:b/>
      <w:bCs/>
      <w:color w:val="000000"/>
      <w:spacing w:val="0"/>
      <w:w w:val="100"/>
      <w:position w:val="0"/>
      <w:sz w:val="20"/>
      <w:szCs w:val="20"/>
      <w:u w:val="none"/>
      <w:lang w:val="en-US" w:eastAsia="en-US"/>
    </w:rPr>
  </w:style>
  <w:style w:type="character" w:customStyle="1" w:styleId="Tableofcontents2">
    <w:name w:val="Table of contents (2)_"/>
    <w:basedOn w:val="DefaultParagraphFont"/>
    <w:link w:val="Tableofcontents20"/>
    <w:uiPriority w:val="99"/>
    <w:locked/>
    <w:rsid w:val="0040281A"/>
    <w:rPr>
      <w:rFonts w:ascii="Arial" w:eastAsia="Times New Roman" w:hAnsi="Arial" w:cs="Arial"/>
      <w:b/>
      <w:bCs/>
      <w:sz w:val="20"/>
      <w:szCs w:val="20"/>
      <w:u w:val="none"/>
    </w:rPr>
  </w:style>
  <w:style w:type="character" w:customStyle="1" w:styleId="Headerorfooter">
    <w:name w:val="Header or footer_"/>
    <w:basedOn w:val="DefaultParagraphFont"/>
    <w:link w:val="Headerorfooter1"/>
    <w:uiPriority w:val="99"/>
    <w:locked/>
    <w:rsid w:val="0040281A"/>
    <w:rPr>
      <w:rFonts w:ascii="Arial" w:eastAsia="Times New Roman" w:hAnsi="Arial" w:cs="Arial"/>
      <w:b/>
      <w:bCs/>
      <w:sz w:val="19"/>
      <w:szCs w:val="19"/>
      <w:u w:val="none"/>
    </w:rPr>
  </w:style>
  <w:style w:type="character" w:customStyle="1" w:styleId="Headerorfooter0">
    <w:name w:val="Header or footer"/>
    <w:basedOn w:val="Headerorfooter"/>
    <w:uiPriority w:val="99"/>
    <w:rsid w:val="0040281A"/>
    <w:rPr>
      <w:rFonts w:ascii="Arial" w:eastAsia="Times New Roman" w:hAnsi="Arial" w:cs="Arial"/>
      <w:b/>
      <w:bCs/>
      <w:color w:val="000000"/>
      <w:spacing w:val="0"/>
      <w:w w:val="100"/>
      <w:position w:val="0"/>
      <w:sz w:val="19"/>
      <w:szCs w:val="19"/>
      <w:u w:val="none"/>
      <w:lang w:val="en-US" w:eastAsia="en-US"/>
    </w:rPr>
  </w:style>
  <w:style w:type="character" w:customStyle="1" w:styleId="TOC1Char">
    <w:name w:val="TOC 1 Char"/>
    <w:basedOn w:val="DefaultParagraphFont"/>
    <w:link w:val="TOC1"/>
    <w:uiPriority w:val="99"/>
    <w:locked/>
    <w:rsid w:val="0040281A"/>
    <w:rPr>
      <w:rFonts w:ascii="Arial" w:eastAsia="Times New Roman" w:hAnsi="Arial" w:cs="Arial"/>
      <w:sz w:val="20"/>
      <w:szCs w:val="20"/>
      <w:u w:val="none"/>
    </w:rPr>
  </w:style>
  <w:style w:type="character" w:customStyle="1" w:styleId="Bodytext20">
    <w:name w:val="Body text (2)"/>
    <w:basedOn w:val="Bodytext2"/>
    <w:uiPriority w:val="99"/>
    <w:rsid w:val="0040281A"/>
    <w:rPr>
      <w:rFonts w:ascii="Arial" w:eastAsia="Times New Roman" w:hAnsi="Arial" w:cs="Arial"/>
      <w:color w:val="0000FF"/>
      <w:spacing w:val="0"/>
      <w:w w:val="100"/>
      <w:position w:val="0"/>
      <w:sz w:val="20"/>
      <w:szCs w:val="20"/>
      <w:u w:val="single"/>
      <w:lang w:val="en-US" w:eastAsia="en-US"/>
    </w:rPr>
  </w:style>
  <w:style w:type="character" w:customStyle="1" w:styleId="Bodytext22">
    <w:name w:val="Body text (2)2"/>
    <w:basedOn w:val="Bodytext2"/>
    <w:uiPriority w:val="99"/>
    <w:rsid w:val="0040281A"/>
    <w:rPr>
      <w:rFonts w:ascii="Arial" w:eastAsia="Times New Roman" w:hAnsi="Arial" w:cs="Arial"/>
      <w:color w:val="0000FF"/>
      <w:spacing w:val="0"/>
      <w:w w:val="100"/>
      <w:position w:val="0"/>
      <w:sz w:val="20"/>
      <w:szCs w:val="20"/>
      <w:u w:val="none"/>
      <w:lang w:val="en-US" w:eastAsia="en-US"/>
    </w:rPr>
  </w:style>
  <w:style w:type="character" w:customStyle="1" w:styleId="Bodytext4">
    <w:name w:val="Body text (4)_"/>
    <w:basedOn w:val="DefaultParagraphFont"/>
    <w:link w:val="Bodytext40"/>
    <w:uiPriority w:val="99"/>
    <w:locked/>
    <w:rsid w:val="0040281A"/>
    <w:rPr>
      <w:rFonts w:ascii="Arial" w:eastAsia="Times New Roman" w:hAnsi="Arial" w:cs="Arial"/>
      <w:b/>
      <w:bCs/>
      <w:sz w:val="20"/>
      <w:szCs w:val="20"/>
      <w:u w:val="none"/>
    </w:rPr>
  </w:style>
  <w:style w:type="character" w:customStyle="1" w:styleId="Bodytext5">
    <w:name w:val="Body text (5)_"/>
    <w:basedOn w:val="DefaultParagraphFont"/>
    <w:link w:val="Bodytext50"/>
    <w:uiPriority w:val="99"/>
    <w:locked/>
    <w:rsid w:val="0040281A"/>
    <w:rPr>
      <w:rFonts w:ascii="Arial" w:eastAsia="Times New Roman" w:hAnsi="Arial" w:cs="Arial"/>
      <w:sz w:val="16"/>
      <w:szCs w:val="16"/>
      <w:u w:val="none"/>
    </w:rPr>
  </w:style>
  <w:style w:type="character" w:customStyle="1" w:styleId="Bodytext6">
    <w:name w:val="Body text (6)_"/>
    <w:basedOn w:val="DefaultParagraphFont"/>
    <w:link w:val="Bodytext61"/>
    <w:uiPriority w:val="99"/>
    <w:locked/>
    <w:rsid w:val="0040281A"/>
    <w:rPr>
      <w:rFonts w:ascii="Arial" w:eastAsia="Times New Roman" w:hAnsi="Arial" w:cs="Arial"/>
      <w:b/>
      <w:bCs/>
      <w:i/>
      <w:iCs/>
      <w:sz w:val="20"/>
      <w:szCs w:val="20"/>
      <w:u w:val="none"/>
    </w:rPr>
  </w:style>
  <w:style w:type="character" w:customStyle="1" w:styleId="Bodytext2Italic">
    <w:name w:val="Body text (2) + Italic"/>
    <w:basedOn w:val="Bodytext2"/>
    <w:uiPriority w:val="99"/>
    <w:rsid w:val="0040281A"/>
    <w:rPr>
      <w:rFonts w:ascii="Arial" w:eastAsia="Times New Roman" w:hAnsi="Arial" w:cs="Arial"/>
      <w:i/>
      <w:iCs/>
      <w:color w:val="000000"/>
      <w:spacing w:val="0"/>
      <w:w w:val="100"/>
      <w:position w:val="0"/>
      <w:sz w:val="20"/>
      <w:szCs w:val="20"/>
      <w:u w:val="none"/>
      <w:lang w:val="en-US" w:eastAsia="en-US"/>
    </w:rPr>
  </w:style>
  <w:style w:type="character" w:customStyle="1" w:styleId="Bodytext3NotItalic">
    <w:name w:val="Body text (3) + Not Italic"/>
    <w:basedOn w:val="Bodytext3"/>
    <w:uiPriority w:val="99"/>
    <w:rsid w:val="0040281A"/>
    <w:rPr>
      <w:rFonts w:ascii="Arial" w:eastAsia="Times New Roman" w:hAnsi="Arial" w:cs="Arial"/>
      <w:i/>
      <w:iCs/>
      <w:color w:val="000000"/>
      <w:spacing w:val="0"/>
      <w:w w:val="100"/>
      <w:position w:val="0"/>
      <w:sz w:val="20"/>
      <w:szCs w:val="20"/>
      <w:u w:val="none"/>
      <w:lang w:val="en-US" w:eastAsia="en-US"/>
    </w:rPr>
  </w:style>
  <w:style w:type="character" w:customStyle="1" w:styleId="Bodytext60">
    <w:name w:val="Body text (6)"/>
    <w:basedOn w:val="Bodytext6"/>
    <w:uiPriority w:val="99"/>
    <w:rsid w:val="0040281A"/>
    <w:rPr>
      <w:rFonts w:ascii="Arial" w:eastAsia="Times New Roman" w:hAnsi="Arial" w:cs="Arial"/>
      <w:b/>
      <w:bCs/>
      <w:i/>
      <w:iCs/>
      <w:color w:val="0000FF"/>
      <w:spacing w:val="0"/>
      <w:w w:val="100"/>
      <w:position w:val="0"/>
      <w:sz w:val="20"/>
      <w:szCs w:val="20"/>
      <w:u w:val="single"/>
      <w:lang w:val="en-US" w:eastAsia="en-US"/>
    </w:rPr>
  </w:style>
  <w:style w:type="character" w:customStyle="1" w:styleId="Bodytext62">
    <w:name w:val="Body text (6)2"/>
    <w:basedOn w:val="Bodytext6"/>
    <w:uiPriority w:val="99"/>
    <w:rsid w:val="0040281A"/>
    <w:rPr>
      <w:rFonts w:ascii="Arial" w:eastAsia="Times New Roman" w:hAnsi="Arial" w:cs="Arial"/>
      <w:b/>
      <w:bCs/>
      <w:i/>
      <w:iCs/>
      <w:color w:val="0000FF"/>
      <w:spacing w:val="0"/>
      <w:w w:val="100"/>
      <w:position w:val="0"/>
      <w:sz w:val="20"/>
      <w:szCs w:val="20"/>
      <w:u w:val="none"/>
      <w:lang w:val="en-US" w:eastAsia="en-US"/>
    </w:rPr>
  </w:style>
  <w:style w:type="character" w:customStyle="1" w:styleId="Bodytext4NotBold">
    <w:name w:val="Body text (4) + Not Bold"/>
    <w:basedOn w:val="Bodytext4"/>
    <w:uiPriority w:val="99"/>
    <w:rsid w:val="0040281A"/>
    <w:rPr>
      <w:rFonts w:ascii="Arial" w:eastAsia="Times New Roman" w:hAnsi="Arial" w:cs="Arial"/>
      <w:b/>
      <w:bCs/>
      <w:color w:val="000000"/>
      <w:spacing w:val="0"/>
      <w:w w:val="100"/>
      <w:position w:val="0"/>
      <w:sz w:val="20"/>
      <w:szCs w:val="20"/>
      <w:u w:val="none"/>
      <w:lang w:val="en-US" w:eastAsia="en-US"/>
    </w:rPr>
  </w:style>
  <w:style w:type="character" w:customStyle="1" w:styleId="Bodytext30">
    <w:name w:val="Body text (3)"/>
    <w:basedOn w:val="Bodytext3"/>
    <w:uiPriority w:val="99"/>
    <w:rsid w:val="0040281A"/>
    <w:rPr>
      <w:rFonts w:ascii="Arial" w:eastAsia="Times New Roman" w:hAnsi="Arial" w:cs="Arial"/>
      <w:i/>
      <w:iCs/>
      <w:color w:val="0000FF"/>
      <w:spacing w:val="0"/>
      <w:w w:val="100"/>
      <w:position w:val="0"/>
      <w:sz w:val="20"/>
      <w:szCs w:val="20"/>
      <w:u w:val="single"/>
      <w:lang w:val="en-US" w:eastAsia="en-US"/>
    </w:rPr>
  </w:style>
  <w:style w:type="character" w:customStyle="1" w:styleId="Bodytext32">
    <w:name w:val="Body text (3)2"/>
    <w:basedOn w:val="Bodytext3"/>
    <w:uiPriority w:val="99"/>
    <w:rsid w:val="0040281A"/>
    <w:rPr>
      <w:rFonts w:ascii="Arial" w:eastAsia="Times New Roman" w:hAnsi="Arial" w:cs="Arial"/>
      <w:i/>
      <w:iCs/>
      <w:color w:val="000000"/>
      <w:spacing w:val="0"/>
      <w:w w:val="100"/>
      <w:position w:val="0"/>
      <w:sz w:val="20"/>
      <w:szCs w:val="20"/>
      <w:u w:val="single"/>
      <w:lang w:val="en-US" w:eastAsia="en-US"/>
    </w:rPr>
  </w:style>
  <w:style w:type="character" w:customStyle="1" w:styleId="Bodytext3Bold">
    <w:name w:val="Body text (3) + Bold"/>
    <w:basedOn w:val="Bodytext3"/>
    <w:uiPriority w:val="99"/>
    <w:rsid w:val="0040281A"/>
    <w:rPr>
      <w:rFonts w:ascii="Arial" w:eastAsia="Times New Roman" w:hAnsi="Arial" w:cs="Arial"/>
      <w:b/>
      <w:bCs/>
      <w:i/>
      <w:iCs/>
      <w:color w:val="000000"/>
      <w:spacing w:val="0"/>
      <w:w w:val="100"/>
      <w:position w:val="0"/>
      <w:sz w:val="20"/>
      <w:szCs w:val="20"/>
      <w:u w:val="none"/>
      <w:lang w:val="en-US" w:eastAsia="en-US"/>
    </w:rPr>
  </w:style>
  <w:style w:type="character" w:customStyle="1" w:styleId="Bodytext3NotItalic1">
    <w:name w:val="Body text (3) + Not Italic1"/>
    <w:basedOn w:val="Bodytext3"/>
    <w:uiPriority w:val="99"/>
    <w:rsid w:val="0040281A"/>
    <w:rPr>
      <w:rFonts w:ascii="Arial" w:eastAsia="Times New Roman" w:hAnsi="Arial" w:cs="Arial"/>
      <w:i/>
      <w:iCs/>
      <w:color w:val="0000FF"/>
      <w:spacing w:val="0"/>
      <w:w w:val="100"/>
      <w:position w:val="0"/>
      <w:sz w:val="20"/>
      <w:szCs w:val="20"/>
      <w:u w:val="none"/>
      <w:lang w:val="en-US" w:eastAsia="en-US"/>
    </w:rPr>
  </w:style>
  <w:style w:type="character" w:customStyle="1" w:styleId="Bodytext2Italic1">
    <w:name w:val="Body text (2) + Italic1"/>
    <w:basedOn w:val="Bodytext2"/>
    <w:uiPriority w:val="99"/>
    <w:rsid w:val="0040281A"/>
    <w:rPr>
      <w:rFonts w:ascii="Arial" w:eastAsia="Times New Roman" w:hAnsi="Arial" w:cs="Arial"/>
      <w:i/>
      <w:iCs/>
      <w:color w:val="0000FF"/>
      <w:spacing w:val="0"/>
      <w:w w:val="100"/>
      <w:position w:val="0"/>
      <w:sz w:val="20"/>
      <w:szCs w:val="20"/>
      <w:u w:val="single"/>
      <w:lang w:val="en-US" w:eastAsia="en-US"/>
    </w:rPr>
  </w:style>
  <w:style w:type="paragraph" w:customStyle="1" w:styleId="Footnote1">
    <w:name w:val="Footnote1"/>
    <w:basedOn w:val="Normal"/>
    <w:link w:val="Footnote"/>
    <w:uiPriority w:val="99"/>
    <w:rsid w:val="0040281A"/>
    <w:pPr>
      <w:shd w:val="clear" w:color="auto" w:fill="FFFFFF"/>
      <w:spacing w:line="182" w:lineRule="exact"/>
      <w:ind w:hanging="300"/>
      <w:jc w:val="both"/>
    </w:pPr>
    <w:rPr>
      <w:rFonts w:ascii="Arial" w:hAnsi="Arial" w:cs="Arial"/>
      <w:sz w:val="16"/>
      <w:szCs w:val="16"/>
    </w:rPr>
  </w:style>
  <w:style w:type="paragraph" w:customStyle="1" w:styleId="Footnote21">
    <w:name w:val="Footnote (2)1"/>
    <w:basedOn w:val="Normal"/>
    <w:link w:val="Footnote2"/>
    <w:uiPriority w:val="99"/>
    <w:rsid w:val="0040281A"/>
    <w:pPr>
      <w:shd w:val="clear" w:color="auto" w:fill="FFFFFF"/>
      <w:spacing w:line="187" w:lineRule="exact"/>
      <w:ind w:hanging="300"/>
    </w:pPr>
    <w:rPr>
      <w:rFonts w:ascii="Arial" w:hAnsi="Arial" w:cs="Arial"/>
      <w:i/>
      <w:iCs/>
      <w:sz w:val="16"/>
      <w:szCs w:val="16"/>
    </w:rPr>
  </w:style>
  <w:style w:type="paragraph" w:customStyle="1" w:styleId="Bodytext21">
    <w:name w:val="Body text (2)1"/>
    <w:basedOn w:val="Normal"/>
    <w:link w:val="Bodytext2"/>
    <w:uiPriority w:val="99"/>
    <w:rsid w:val="0040281A"/>
    <w:pPr>
      <w:shd w:val="clear" w:color="auto" w:fill="FFFFFF"/>
      <w:spacing w:line="240" w:lineRule="atLeast"/>
      <w:ind w:hanging="560"/>
    </w:pPr>
    <w:rPr>
      <w:rFonts w:ascii="Arial" w:hAnsi="Arial" w:cs="Arial"/>
      <w:sz w:val="20"/>
      <w:szCs w:val="20"/>
    </w:rPr>
  </w:style>
  <w:style w:type="paragraph" w:customStyle="1" w:styleId="Heading10">
    <w:name w:val="Heading #1"/>
    <w:basedOn w:val="Normal"/>
    <w:link w:val="Heading1"/>
    <w:uiPriority w:val="99"/>
    <w:rsid w:val="0040281A"/>
    <w:pPr>
      <w:shd w:val="clear" w:color="auto" w:fill="FFFFFF"/>
      <w:spacing w:line="240" w:lineRule="atLeast"/>
      <w:jc w:val="both"/>
      <w:outlineLvl w:val="0"/>
    </w:pPr>
    <w:rPr>
      <w:rFonts w:ascii="Arial" w:hAnsi="Arial" w:cs="Arial"/>
      <w:b/>
      <w:bCs/>
      <w:sz w:val="20"/>
      <w:szCs w:val="20"/>
    </w:rPr>
  </w:style>
  <w:style w:type="paragraph" w:customStyle="1" w:styleId="Bodytext31">
    <w:name w:val="Body text (3)1"/>
    <w:basedOn w:val="Normal"/>
    <w:link w:val="Bodytext3"/>
    <w:uiPriority w:val="99"/>
    <w:rsid w:val="0040281A"/>
    <w:pPr>
      <w:shd w:val="clear" w:color="auto" w:fill="FFFFFF"/>
      <w:spacing w:line="230" w:lineRule="exact"/>
      <w:ind w:hanging="360"/>
      <w:jc w:val="both"/>
    </w:pPr>
    <w:rPr>
      <w:rFonts w:ascii="Arial" w:hAnsi="Arial" w:cs="Arial"/>
      <w:i/>
      <w:iCs/>
      <w:sz w:val="20"/>
      <w:szCs w:val="20"/>
    </w:rPr>
  </w:style>
  <w:style w:type="paragraph" w:customStyle="1" w:styleId="Tableofcontents20">
    <w:name w:val="Table of contents (2)"/>
    <w:basedOn w:val="Normal"/>
    <w:link w:val="Tableofcontents2"/>
    <w:uiPriority w:val="99"/>
    <w:rsid w:val="0040281A"/>
    <w:pPr>
      <w:shd w:val="clear" w:color="auto" w:fill="FFFFFF"/>
      <w:spacing w:line="350" w:lineRule="exact"/>
      <w:jc w:val="both"/>
    </w:pPr>
    <w:rPr>
      <w:rFonts w:ascii="Arial" w:hAnsi="Arial" w:cs="Arial"/>
      <w:b/>
      <w:bCs/>
      <w:sz w:val="20"/>
      <w:szCs w:val="20"/>
    </w:rPr>
  </w:style>
  <w:style w:type="paragraph" w:customStyle="1" w:styleId="Headerorfooter1">
    <w:name w:val="Header or footer1"/>
    <w:basedOn w:val="Normal"/>
    <w:link w:val="Headerorfooter"/>
    <w:uiPriority w:val="99"/>
    <w:rsid w:val="0040281A"/>
    <w:pPr>
      <w:shd w:val="clear" w:color="auto" w:fill="FFFFFF"/>
      <w:spacing w:line="240" w:lineRule="atLeast"/>
    </w:pPr>
    <w:rPr>
      <w:rFonts w:ascii="Arial" w:hAnsi="Arial" w:cs="Arial"/>
      <w:b/>
      <w:bCs/>
      <w:sz w:val="19"/>
      <w:szCs w:val="19"/>
    </w:rPr>
  </w:style>
  <w:style w:type="paragraph" w:styleId="TOC1">
    <w:name w:val="toc 1"/>
    <w:basedOn w:val="Normal"/>
    <w:link w:val="TOC1Char"/>
    <w:autoRedefine/>
    <w:uiPriority w:val="39"/>
    <w:rsid w:val="0040281A"/>
    <w:pPr>
      <w:shd w:val="clear" w:color="auto" w:fill="FFFFFF"/>
      <w:spacing w:line="346" w:lineRule="exact"/>
      <w:jc w:val="both"/>
    </w:pPr>
    <w:rPr>
      <w:rFonts w:ascii="Arial" w:hAnsi="Arial" w:cs="Arial"/>
      <w:sz w:val="20"/>
      <w:szCs w:val="20"/>
    </w:rPr>
  </w:style>
  <w:style w:type="paragraph" w:customStyle="1" w:styleId="Bodytext40">
    <w:name w:val="Body text (4)"/>
    <w:basedOn w:val="Normal"/>
    <w:link w:val="Bodytext4"/>
    <w:uiPriority w:val="99"/>
    <w:rsid w:val="0040281A"/>
    <w:pPr>
      <w:shd w:val="clear" w:color="auto" w:fill="FFFFFF"/>
      <w:spacing w:line="230" w:lineRule="exact"/>
      <w:jc w:val="both"/>
    </w:pPr>
    <w:rPr>
      <w:rFonts w:ascii="Arial" w:hAnsi="Arial" w:cs="Arial"/>
      <w:b/>
      <w:bCs/>
      <w:sz w:val="20"/>
      <w:szCs w:val="20"/>
    </w:rPr>
  </w:style>
  <w:style w:type="paragraph" w:customStyle="1" w:styleId="Bodytext50">
    <w:name w:val="Body text (5)"/>
    <w:basedOn w:val="Normal"/>
    <w:link w:val="Bodytext5"/>
    <w:uiPriority w:val="99"/>
    <w:rsid w:val="0040281A"/>
    <w:pPr>
      <w:shd w:val="clear" w:color="auto" w:fill="FFFFFF"/>
      <w:spacing w:line="182" w:lineRule="exact"/>
      <w:jc w:val="both"/>
    </w:pPr>
    <w:rPr>
      <w:rFonts w:ascii="Arial" w:hAnsi="Arial" w:cs="Arial"/>
      <w:sz w:val="16"/>
      <w:szCs w:val="16"/>
    </w:rPr>
  </w:style>
  <w:style w:type="paragraph" w:customStyle="1" w:styleId="Bodytext61">
    <w:name w:val="Body text (6)1"/>
    <w:basedOn w:val="Normal"/>
    <w:link w:val="Bodytext6"/>
    <w:uiPriority w:val="99"/>
    <w:rsid w:val="0040281A"/>
    <w:pPr>
      <w:shd w:val="clear" w:color="auto" w:fill="FFFFFF"/>
      <w:spacing w:line="240" w:lineRule="atLeast"/>
      <w:jc w:val="both"/>
    </w:pPr>
    <w:rPr>
      <w:rFonts w:ascii="Arial" w:hAnsi="Arial" w:cs="Arial"/>
      <w:b/>
      <w:bCs/>
      <w:i/>
      <w:iCs/>
      <w:sz w:val="20"/>
      <w:szCs w:val="20"/>
    </w:rPr>
  </w:style>
  <w:style w:type="paragraph" w:styleId="Header">
    <w:name w:val="header"/>
    <w:basedOn w:val="Normal"/>
    <w:link w:val="HeaderChar"/>
    <w:uiPriority w:val="99"/>
    <w:semiHidden/>
    <w:rsid w:val="003A16ED"/>
    <w:pPr>
      <w:tabs>
        <w:tab w:val="center" w:pos="4680"/>
        <w:tab w:val="right" w:pos="9360"/>
      </w:tabs>
    </w:pPr>
  </w:style>
  <w:style w:type="character" w:customStyle="1" w:styleId="HeaderChar">
    <w:name w:val="Header Char"/>
    <w:basedOn w:val="DefaultParagraphFont"/>
    <w:link w:val="Header"/>
    <w:uiPriority w:val="99"/>
    <w:semiHidden/>
    <w:locked/>
    <w:rsid w:val="003A16ED"/>
    <w:rPr>
      <w:rFonts w:cs="Times New Roman"/>
      <w:color w:val="000000"/>
    </w:rPr>
  </w:style>
  <w:style w:type="paragraph" w:styleId="Footer">
    <w:name w:val="footer"/>
    <w:basedOn w:val="Normal"/>
    <w:link w:val="FooterChar"/>
    <w:uiPriority w:val="99"/>
    <w:semiHidden/>
    <w:rsid w:val="003A16ED"/>
    <w:pPr>
      <w:tabs>
        <w:tab w:val="center" w:pos="4680"/>
        <w:tab w:val="right" w:pos="9360"/>
      </w:tabs>
    </w:pPr>
  </w:style>
  <w:style w:type="character" w:customStyle="1" w:styleId="FooterChar">
    <w:name w:val="Footer Char"/>
    <w:basedOn w:val="DefaultParagraphFont"/>
    <w:link w:val="Footer"/>
    <w:uiPriority w:val="99"/>
    <w:semiHidden/>
    <w:locked/>
    <w:rsid w:val="003A16ED"/>
    <w:rPr>
      <w:rFonts w:cs="Times New Roman"/>
      <w:color w:val="000000"/>
    </w:rPr>
  </w:style>
  <w:style w:type="paragraph" w:styleId="BalloonText">
    <w:name w:val="Balloon Text"/>
    <w:basedOn w:val="Normal"/>
    <w:link w:val="BalloonTextChar"/>
    <w:uiPriority w:val="99"/>
    <w:semiHidden/>
    <w:rsid w:val="003A16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6ED"/>
    <w:rPr>
      <w:rFonts w:ascii="Tahoma" w:hAnsi="Tahoma" w:cs="Tahoma"/>
      <w:color w:val="000000"/>
      <w:sz w:val="16"/>
      <w:szCs w:val="16"/>
    </w:rPr>
  </w:style>
  <w:style w:type="character" w:styleId="Hyperlink">
    <w:name w:val="Hyperlink"/>
    <w:basedOn w:val="DefaultParagraphFont"/>
    <w:uiPriority w:val="99"/>
    <w:rsid w:val="003A16ED"/>
    <w:rPr>
      <w:rFonts w:cs="Times New Roman"/>
      <w:color w:val="0000FF"/>
      <w:u w:val="single"/>
    </w:rPr>
  </w:style>
  <w:style w:type="paragraph" w:styleId="FootnoteText">
    <w:name w:val="footnote text"/>
    <w:basedOn w:val="Normal"/>
    <w:link w:val="FootnoteTextChar"/>
    <w:uiPriority w:val="99"/>
    <w:semiHidden/>
    <w:rsid w:val="00D72E6C"/>
    <w:rPr>
      <w:sz w:val="20"/>
      <w:szCs w:val="20"/>
    </w:rPr>
  </w:style>
  <w:style w:type="character" w:customStyle="1" w:styleId="FootnoteTextChar">
    <w:name w:val="Footnote Text Char"/>
    <w:basedOn w:val="DefaultParagraphFont"/>
    <w:link w:val="FootnoteText"/>
    <w:uiPriority w:val="99"/>
    <w:semiHidden/>
    <w:locked/>
    <w:rsid w:val="00D72E6C"/>
    <w:rPr>
      <w:rFonts w:cs="Times New Roman"/>
      <w:color w:val="000000"/>
      <w:sz w:val="20"/>
      <w:szCs w:val="20"/>
    </w:rPr>
  </w:style>
  <w:style w:type="character" w:styleId="FootnoteReference">
    <w:name w:val="footnote reference"/>
    <w:basedOn w:val="DefaultParagraphFont"/>
    <w:uiPriority w:val="99"/>
    <w:semiHidden/>
    <w:rsid w:val="00D72E6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ivacycommission.be/sites/privacycommission/files/documents/convention_108_en.pdf" TargetMode="External"/><Relationship Id="rId18" Type="http://schemas.openxmlformats.org/officeDocument/2006/relationships/hyperlink" Target="http://www.ccbe.eu/fileadmin/user_upload/NTCdocument/EN_04042014_Comparat1_1400656620.pdf" TargetMode="External"/><Relationship Id="rId26" Type="http://schemas.openxmlformats.org/officeDocument/2006/relationships/hyperlink" Target="http://ec.europa.eu/justice/data-protection/article-29/documentation/opinion-recommendation/files/2014/wp228_en.pdf" TargetMode="External"/><Relationship Id="rId39" Type="http://schemas.openxmlformats.org/officeDocument/2006/relationships/hyperlink" Target="https://wcd.coe.int/com.instranet.InstraServlet?command=com.instranet.CmdBlobGet&amp;InstranetImage=2796355&amp;SecMode=1&amp;DocId=2286978&amp;Usage=2" TargetMode="External"/><Relationship Id="rId21" Type="http://schemas.openxmlformats.org/officeDocument/2006/relationships/hyperlink" Target="http://www.ccbe.eu/fileadmin/user_upload/NTCdocument/EN_pr_0515pdf1_1437381732.pdf" TargetMode="External"/><Relationship Id="rId34" Type="http://schemas.openxmlformats.org/officeDocument/2006/relationships/hyperlink" Target="http://www.ccbe.eu/fileadmin/user_upload/NTCdocument/EN_CCBE_CoCpdf1_1382973057.pdf" TargetMode="External"/><Relationship Id="rId42" Type="http://schemas.openxmlformats.org/officeDocument/2006/relationships/hyperlink" Target="http://www.echr.coe.int/Documents/Convention_ENG.pdf" TargetMode="External"/><Relationship Id="rId47" Type="http://schemas.openxmlformats.org/officeDocument/2006/relationships/hyperlink" Target="http://www.europarl.europa.eu/sides/getDoc.do?type=TA&amp;reference=P8-TA-2015-0388&amp;language=EN&amp;ring=B8-2015-1092" TargetMode="External"/><Relationship Id="rId50" Type="http://schemas.openxmlformats.org/officeDocument/2006/relationships/hyperlink" Target="http://www.europarl.europa.eu/sides/getDoc.do?type=TA&amp;reference=P7-TA-2014-0230&amp;language=EN&amp;ring=A7-2014-0139" TargetMode="External"/><Relationship Id="rId55" Type="http://schemas.openxmlformats.org/officeDocument/2006/relationships/hyperlink" Target="http://www.ccbe.eu/fileadmin/user_upload/NTCdocument/update_edwards_repor1_1182333982.pdf" TargetMode="External"/><Relationship Id="rId63" Type="http://schemas.openxmlformats.org/officeDocument/2006/relationships/hyperlink" Target="http://hudoc.echr.coe.int/eng?i=001-100293" TargetMode="External"/><Relationship Id="rId68" Type="http://schemas.openxmlformats.org/officeDocument/2006/relationships/hyperlink" Target="http://hudoc.echr.coe.int/sites/eng/pages/search.aspx?i=001-59722" TargetMode="External"/><Relationship Id="rId76" Type="http://schemas.openxmlformats.org/officeDocument/2006/relationships/hyperlink" Target="http://eur-lex.europa.eu/legal-content/EN/TXT/?uri=CELEX%3A61979CJ0155" TargetMode="External"/><Relationship Id="rId7" Type="http://schemas.openxmlformats.org/officeDocument/2006/relationships/image" Target="media/image1.jpeg"/><Relationship Id="rId71" Type="http://schemas.openxmlformats.org/officeDocument/2006/relationships/hyperlink" Target="http://hudoc.echr.coe.int/sites/eng/pages/search.aspx?i=001-57887" TargetMode="External"/><Relationship Id="rId2" Type="http://schemas.openxmlformats.org/officeDocument/2006/relationships/styles" Target="styles.xml"/><Relationship Id="rId16" Type="http://schemas.openxmlformats.org/officeDocument/2006/relationships/hyperlink" Target="http://www.europarl.europa.eu/sides/getDoc.do?type=TA&amp;language=EN&amp;reference=P7-TA-2014-0230" TargetMode="External"/><Relationship Id="rId29" Type="http://schemas.openxmlformats.org/officeDocument/2006/relationships/hyperlink" Target="http://www.ccbe.eu/fileadmin/user_upload/NTCdocument/CCBE_letter_to_Polis1_1452607202.pdf" TargetMode="External"/><Relationship Id="rId11" Type="http://schemas.openxmlformats.org/officeDocument/2006/relationships/hyperlink" Target="https://wcd.coe.int/com.instranet.InstraServlet?command=com.instranet.CmdBlobGet&amp;InstranetImage=533749&amp;SecMode=1&amp;DocId=370286&amp;Usage=2" TargetMode="External"/><Relationship Id="rId24" Type="http://schemas.openxmlformats.org/officeDocument/2006/relationships/header" Target="header1.xml"/><Relationship Id="rId32" Type="http://schemas.openxmlformats.org/officeDocument/2006/relationships/hyperlink" Target="http://www.ccbe.eu/fileadmin/user_upload/NTCdocument/EN_14142013_CCBE_Sta1_1382086457.pdf" TargetMode="External"/><Relationship Id="rId37" Type="http://schemas.openxmlformats.org/officeDocument/2006/relationships/hyperlink" Target="http://www.venice.coe.int/webforms/documents/default.aspx?pdffile=CDL-AD(2015)006-e" TargetMode="External"/><Relationship Id="rId40" Type="http://schemas.openxmlformats.org/officeDocument/2006/relationships/hyperlink" Target="https://wcd.coe.int/com.instranet.InstraServlet?command=com.instranet.CmdBlobGet&amp;InstranetImage=2796355&amp;SecMode=1&amp;DocId=2286978&amp;Usage=2" TargetMode="External"/><Relationship Id="rId45" Type="http://schemas.openxmlformats.org/officeDocument/2006/relationships/hyperlink" Target="http://eur-lex.europa.eu/legal-content/EN/TXT/?uri=CELEX%3A31998L0005" TargetMode="External"/><Relationship Id="rId53" Type="http://schemas.openxmlformats.org/officeDocument/2006/relationships/hyperlink" Target="http://www.ccbe.eu/fileadmin/user_upload/NTCdocument/fish_report_enpdf1_1184145269.pdf" TargetMode="External"/><Relationship Id="rId58" Type="http://schemas.openxmlformats.org/officeDocument/2006/relationships/hyperlink" Target="http://ir.lawnet.fordham.edu/cgi/viewcontent.cgi?article=1978&amp;context=ilj" TargetMode="External"/><Relationship Id="rId66" Type="http://schemas.openxmlformats.org/officeDocument/2006/relationships/hyperlink" Target="http://hudoc.echr.coe.int/eng?i=001-68626" TargetMode="External"/><Relationship Id="rId74" Type="http://schemas.openxmlformats.org/officeDocument/2006/relationships/hyperlink" Target="http://curia.europa.eu/juris/document/document.jsf?text=&amp;docid=76811&amp;pageIndex=0&amp;doclang=EN&amp;mode=lst&amp;dir=&amp;occ=first&amp;part=1&amp;cid=332916"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hudoc.echr.coe.int/eng?i=001-158159" TargetMode="External"/><Relationship Id="rId10" Type="http://schemas.openxmlformats.org/officeDocument/2006/relationships/hyperlink" Target="http://hudoc.echr.coe.int/sites/eng/pages/search.aspx?i=001-58838" TargetMode="External"/><Relationship Id="rId19" Type="http://schemas.openxmlformats.org/officeDocument/2006/relationships/hyperlink" Target="http://www.ccbe.eu/fileadmin/user_upload/NTCdocument/CCBE_Letter_to_UK_Ma1_1426837203.pdf" TargetMode="External"/><Relationship Id="rId31" Type="http://schemas.openxmlformats.org/officeDocument/2006/relationships/hyperlink" Target="http://www.ccbe.eu/fileadmin/user_upload/NTCdocument/EN_04042014_Comparat1_1400656620.pdf" TargetMode="External"/><Relationship Id="rId44" Type="http://schemas.openxmlformats.org/officeDocument/2006/relationships/hyperlink" Target="http://www.europarl.europa.eu/charter/pdf/text_en.pdf" TargetMode="External"/><Relationship Id="rId52" Type="http://schemas.openxmlformats.org/officeDocument/2006/relationships/hyperlink" Target="https://www.whitehouse.gov/sites/default/files/docs/2013-12-12_rg_final_report.pdf" TargetMode="External"/><Relationship Id="rId60" Type="http://schemas.openxmlformats.org/officeDocument/2006/relationships/hyperlink" Target="http://www.ccbe.eu/fileadmin/user_upload/NTCdocument/edward_enpdf1_1182334460.pdf" TargetMode="External"/><Relationship Id="rId65" Type="http://schemas.openxmlformats.org/officeDocument/2006/relationships/hyperlink" Target="http://hudoc.echr.coe.int/eng?i=001-83492" TargetMode="External"/><Relationship Id="rId73" Type="http://schemas.openxmlformats.org/officeDocument/2006/relationships/hyperlink" Target="http://hudoc.echr.coe.int/sites/eng/pages/search.aspx?i=001-74394" TargetMode="External"/><Relationship Id="rId78" Type="http://schemas.openxmlformats.org/officeDocument/2006/relationships/hyperlink" Target="http://www.publications.parliament.uk/pa/ld200809/ldjudgmt/jd090311/mce-1.htm" TargetMode="External"/><Relationship Id="rId4" Type="http://schemas.openxmlformats.org/officeDocument/2006/relationships/webSettings" Target="webSettings.xml"/><Relationship Id="rId9" Type="http://schemas.openxmlformats.org/officeDocument/2006/relationships/hyperlink" Target="http://www.ccbe.eu/" TargetMode="External"/><Relationship Id="rId14" Type="http://schemas.openxmlformats.org/officeDocument/2006/relationships/hyperlink" Target="http://www.ccbe.eu/fileadmin/user_upload/NTCdocument/ENCCBE_Statement_on1_1372693626.pdf" TargetMode="External"/><Relationship Id="rId22" Type="http://schemas.openxmlformats.org/officeDocument/2006/relationships/hyperlink" Target="http://www.ccbe.eu/fileadmin/user_upload/NTCdocument/EN_pr_0415pdf1_1435843144.pdf" TargetMode="External"/><Relationship Id="rId27" Type="http://schemas.openxmlformats.org/officeDocument/2006/relationships/hyperlink" Target="http://ec.europa.eu/justice/data-protection/article-29/documentation/opinion-recommendation/files/2014/wp228_en.pdf" TargetMode="External"/><Relationship Id="rId30" Type="http://schemas.openxmlformats.org/officeDocument/2006/relationships/hyperlink" Target="http://www.ccbe.eu/fileadmin/user_upload/NTCdocument/CCBE_Letter_to_UK_Ma1_1426837203.pdf" TargetMode="External"/><Relationship Id="rId35" Type="http://schemas.openxmlformats.org/officeDocument/2006/relationships/hyperlink" Target="http://www.ccbe.eu/fileadmin/user_upload/NTCdocument/EN_CCBE_CoCpdf1_1382973057.pdf" TargetMode="External"/><Relationship Id="rId43" Type="http://schemas.openxmlformats.org/officeDocument/2006/relationships/hyperlink" Target="http://eur-lex.europa.eu/LexUriServ/LexUriServ.do?uri=OJ:L:2013:294:0001:0012:EN:PDF" TargetMode="External"/><Relationship Id="rId48" Type="http://schemas.openxmlformats.org/officeDocument/2006/relationships/hyperlink" Target="http://www.europarl.europa.eu/RegData/etudes/STUD/2015/536471/IPOL_STU(2015)536471_EN.pdf" TargetMode="External"/><Relationship Id="rId56" Type="http://schemas.openxmlformats.org/officeDocument/2006/relationships/hyperlink" Target="http://www.ccbe.eu/fileadmin/user_upload/NTCdocument/update_edwards_repor1_1182333982.pdf" TargetMode="External"/><Relationship Id="rId64" Type="http://schemas.openxmlformats.org/officeDocument/2006/relationships/hyperlink" Target="http://hudoc.echr.coe.int/eng?i=001-91704" TargetMode="External"/><Relationship Id="rId69" Type="http://schemas.openxmlformats.org/officeDocument/2006/relationships/hyperlink" Target="http://hudoc.echr.coe.int/sites/eng/pages/search.aspx?i=001-58838" TargetMode="External"/><Relationship Id="rId77" Type="http://schemas.openxmlformats.org/officeDocument/2006/relationships/hyperlink" Target="http://www.ccbe.eu/fileadmin/user_upload/NTCdocument/Prakken_appeal_decis1_1457014715.pdf" TargetMode="External"/><Relationship Id="rId8" Type="http://schemas.openxmlformats.org/officeDocument/2006/relationships/hyperlink" Target="mailto:ccbe@ccbe.eu" TargetMode="External"/><Relationship Id="rId51" Type="http://schemas.openxmlformats.org/officeDocument/2006/relationships/hyperlink" Target="http://www.ivir.nl/publicaties/download/1591" TargetMode="External"/><Relationship Id="rId72" Type="http://schemas.openxmlformats.org/officeDocument/2006/relationships/hyperlink" Target="http://hudoc.echr.coe.int/sites/eng/pages/search.aspx?i=001-5770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cbe.eu/fileadmin/user_upload/NTCdocument/EN_CCBE_CoCpdf1_1382973057.pdf" TargetMode="External"/><Relationship Id="rId17" Type="http://schemas.openxmlformats.org/officeDocument/2006/relationships/hyperlink" Target="http://www.ccbe.eu/fileadmin/user_upload/NTCdocument/EN_pr_0114pdf1_1395063387.pdf" TargetMode="External"/><Relationship Id="rId25" Type="http://schemas.openxmlformats.org/officeDocument/2006/relationships/hyperlink" Target="http://ec.europa.eu/justice/data-protection/article-29/documentation/opinion-recommendation/files/2014/wp227_en.pdf" TargetMode="External"/><Relationship Id="rId33" Type="http://schemas.openxmlformats.org/officeDocument/2006/relationships/hyperlink" Target="http://www.ccbe.eu/fileadmin/user_upload/NTCdocument/EN_14142013_CCBE_Sta1_1382086457.pdf" TargetMode="External"/><Relationship Id="rId38" Type="http://schemas.openxmlformats.org/officeDocument/2006/relationships/hyperlink" Target="http://www.venice.coe.int/webforms/documents/default.aspx?pdffile=CDL-AD(2015)006-e" TargetMode="External"/><Relationship Id="rId46" Type="http://schemas.openxmlformats.org/officeDocument/2006/relationships/hyperlink" Target="http://eur-lex.europa.eu/LexUriServ/LexUriServ.do?uri=CELEX:31977L0249:EN:HTML" TargetMode="External"/><Relationship Id="rId59" Type="http://schemas.openxmlformats.org/officeDocument/2006/relationships/hyperlink" Target="http://www.ccbe.eu/fileadmin/user_upload/NTCdocument/edward_enpdf1_1182334460.pdf" TargetMode="External"/><Relationship Id="rId67" Type="http://schemas.openxmlformats.org/officeDocument/2006/relationships/hyperlink" Target="http://hudoc.echr.coe.int/sites/eng/pages/search.aspx?i=001-60021" TargetMode="External"/><Relationship Id="rId20" Type="http://schemas.openxmlformats.org/officeDocument/2006/relationships/hyperlink" Target="http://www.ccbe.eu/fileadmin/user_upload/NTCdocument/CCBE_letter_to_Polis1_1452607202.pdf" TargetMode="External"/><Relationship Id="rId41" Type="http://schemas.openxmlformats.org/officeDocument/2006/relationships/hyperlink" Target="http://www.asianajajaliitto.fi/files/19/R2000-21_Freedom_of_exercise_of_the_profession_of_lawyer.pdf" TargetMode="External"/><Relationship Id="rId54" Type="http://schemas.openxmlformats.org/officeDocument/2006/relationships/hyperlink" Target="http://www.ccbe.eu/fileadmin/user_upload/NTCdocument/fish_report_enpdf1_1184145269.pdf" TargetMode="External"/><Relationship Id="rId62" Type="http://schemas.openxmlformats.org/officeDocument/2006/relationships/hyperlink" Target="http://hudoc.echr.coe.int/sites/eng/pages/search.aspx?i=001-101568" TargetMode="External"/><Relationship Id="rId70" Type="http://schemas.openxmlformats.org/officeDocument/2006/relationships/hyperlink" Target="http://hudoc.echr.coe.int/sites/eng/pages/search.aspx?i=001-58144" TargetMode="External"/><Relationship Id="rId75" Type="http://schemas.openxmlformats.org/officeDocument/2006/relationships/hyperlink" Target="http://curia.europa.eu/juris/document/document.jsf?doclang=EN&amp;text=&amp;pageIndex=0&amp;part=1&amp;mode=lst&amp;docid=61675&amp;occ=first&amp;dir=&amp;cid=5600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cbe.eu/fileadmin/user_upload/NTCdocument/EN_14142013_CCBE_Sta1_1382086457.pdf" TargetMode="External"/><Relationship Id="rId23" Type="http://schemas.openxmlformats.org/officeDocument/2006/relationships/hyperlink" Target="http://www.ccbe.eu/fileadmin/user_upload/NTCdocument/EN_pr_0615pdf1_1446127708.pdf" TargetMode="External"/><Relationship Id="rId28" Type="http://schemas.openxmlformats.org/officeDocument/2006/relationships/hyperlink" Target="http://www.ccbe.eu/fileadmin/user_upload/NTCdocument/CCBE_letter_to_Polis1_1452607202.pdf" TargetMode="External"/><Relationship Id="rId36" Type="http://schemas.openxmlformats.org/officeDocument/2006/relationships/hyperlink" Target="http://assembly.coe.int/nw/xml/XRef/Xref-XML2HTML-EN.asp?fileid=21692&amp;lang=en" TargetMode="External"/><Relationship Id="rId49" Type="http://schemas.openxmlformats.org/officeDocument/2006/relationships/hyperlink" Target="http://www.europarl.europa.eu/RegData/etudes/STUD/2015/536470/IPOL_STU(2015)536470_EN.pdf" TargetMode="External"/><Relationship Id="rId57" Type="http://schemas.openxmlformats.org/officeDocument/2006/relationships/hyperlink" Target="http://ir.lawnet.fordham.edu/cgi/viewcontent.cgi?article=1978&amp;context=il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sembly.coe.int/nw/xml/XRef/Xref-XML2HTML-EN.asp?fileid=21692&amp;lang=en" TargetMode="External"/><Relationship Id="rId13" Type="http://schemas.openxmlformats.org/officeDocument/2006/relationships/hyperlink" Target="http://www.ccbe.eu/fileadmin/user_upload/NTCdocument/edward_enpdf1_1182334460.pdf" TargetMode="External"/><Relationship Id="rId18" Type="http://schemas.openxmlformats.org/officeDocument/2006/relationships/hyperlink" Target="http://hudoc.echr.coe.int/eng?i=001-69022" TargetMode="External"/><Relationship Id="rId26" Type="http://schemas.openxmlformats.org/officeDocument/2006/relationships/hyperlink" Target="http://hudoc.echr.coe.int/eng?i=001-68626" TargetMode="External"/><Relationship Id="rId39" Type="http://schemas.openxmlformats.org/officeDocument/2006/relationships/hyperlink" Target="http://hudoc.echr.coe.int/eng?i=001-159324" TargetMode="External"/><Relationship Id="rId3" Type="http://schemas.openxmlformats.org/officeDocument/2006/relationships/hyperlink" Target="http://www.ccbe.eu/fileadmin/user_upload/NTCdocument/CCBE_letter_to_Polis1_1452607202.pdf" TargetMode="External"/><Relationship Id="rId21" Type="http://schemas.openxmlformats.org/officeDocument/2006/relationships/hyperlink" Target="http://hudoc.echr.coe.int/sites/eng/pages/search.aspx?i=001-58144" TargetMode="External"/><Relationship Id="rId34" Type="http://schemas.openxmlformats.org/officeDocument/2006/relationships/hyperlink" Target="http://www.venice.coe.int/webforms/documents/default.aspx?pdffile=CDL-AD(2015)006-e" TargetMode="External"/><Relationship Id="rId42" Type="http://schemas.openxmlformats.org/officeDocument/2006/relationships/hyperlink" Target="http://hudoc.echr.coe.int/eng?i=001-98473" TargetMode="External"/><Relationship Id="rId47" Type="http://schemas.openxmlformats.org/officeDocument/2006/relationships/hyperlink" Target="https://wcd.coe.int/com.instranet.InstraServlet?command=com.instranet.CmdBlobGet&amp;InstranetImage=2796355&amp;SecMode=1&amp;DocId=2286978&amp;Usage=2" TargetMode="External"/><Relationship Id="rId7" Type="http://schemas.openxmlformats.org/officeDocument/2006/relationships/hyperlink" Target="http://www.europarl.europa.eu/sides/getDoc.do?type=TA&amp;reference=P8-TA-2015-0388&amp;language=EN&amp;ring=B8-2015-1092" TargetMode="External"/><Relationship Id="rId12" Type="http://schemas.openxmlformats.org/officeDocument/2006/relationships/hyperlink" Target="http://www.ccbe.eu/fileadmin/user_upload/NTCdocument/edward_enpdf1_1182334460.pdf" TargetMode="External"/><Relationship Id="rId17" Type="http://schemas.openxmlformats.org/officeDocument/2006/relationships/hyperlink" Target="http://hudoc.echr.coe.int/eng?i=001-69022" TargetMode="External"/><Relationship Id="rId25" Type="http://schemas.openxmlformats.org/officeDocument/2006/relationships/hyperlink" Target="http://hudoc.echr.coe.int/sites/eng/pages/search.aspx?i=001-57887" TargetMode="External"/><Relationship Id="rId33" Type="http://schemas.openxmlformats.org/officeDocument/2006/relationships/hyperlink" Target="http://www.venice.coe.int/webforms/documents/default.aspx?pdffile=CDL-AD(2015)006-e" TargetMode="External"/><Relationship Id="rId38" Type="http://schemas.openxmlformats.org/officeDocument/2006/relationships/hyperlink" Target="http://hudoc.echr.coe.int/eng?i=001-114439" TargetMode="External"/><Relationship Id="rId46" Type="http://schemas.openxmlformats.org/officeDocument/2006/relationships/hyperlink" Target="http://hudoc.echr.coe.int/eng?i=001-160020" TargetMode="External"/><Relationship Id="rId2" Type="http://schemas.openxmlformats.org/officeDocument/2006/relationships/hyperlink" Target="http://www.ccbe.eu/fileadmin/user_upload/NTCdocument/EN_04042014_Comparat1_1400656620.pdf" TargetMode="External"/><Relationship Id="rId16" Type="http://schemas.openxmlformats.org/officeDocument/2006/relationships/hyperlink" Target="http://hudoc.echr.coe.int/eng?i=001-58073" TargetMode="External"/><Relationship Id="rId20" Type="http://schemas.openxmlformats.org/officeDocument/2006/relationships/hyperlink" Target="http://hudoc.echr.coe.int/eng?i=001-115377" TargetMode="External"/><Relationship Id="rId29" Type="http://schemas.openxmlformats.org/officeDocument/2006/relationships/hyperlink" Target="http://hudoc.echr.coe.int/eng?i=001-91704" TargetMode="External"/><Relationship Id="rId41" Type="http://schemas.openxmlformats.org/officeDocument/2006/relationships/hyperlink" Target="http://hudoc.echr.coe.int/eng?i=001-114439" TargetMode="External"/><Relationship Id="rId1" Type="http://schemas.openxmlformats.org/officeDocument/2006/relationships/hyperlink" Target="http://www.ccbe.eu/fileadmin/user_upload/NTCdocument/EN_14142013_CCBE_Sta1_1382086457.pdf" TargetMode="External"/><Relationship Id="rId6" Type="http://schemas.openxmlformats.org/officeDocument/2006/relationships/hyperlink" Target="http://www.ccbe.eu/fileadmin/user_upload/NTCdocument/EN_pr_0615pdf1_1446127708.pdf" TargetMode="External"/><Relationship Id="rId11" Type="http://schemas.openxmlformats.org/officeDocument/2006/relationships/hyperlink" Target="http://hudoc.echr.coe.int/eng?i=001-87938" TargetMode="External"/><Relationship Id="rId24" Type="http://schemas.openxmlformats.org/officeDocument/2006/relationships/hyperlink" Target="http://hudoc.echr.coe.int/sites/eng/pages/search.aspx?i=001-58838" TargetMode="External"/><Relationship Id="rId32" Type="http://schemas.openxmlformats.org/officeDocument/2006/relationships/hyperlink" Target="https://www.whitehouse.gov/sites/default/files/docs/2013-12-12_rg_final_report.pdf" TargetMode="External"/><Relationship Id="rId37" Type="http://schemas.openxmlformats.org/officeDocument/2006/relationships/hyperlink" Target="http://www.venice.coe.int/webforms/documents/default.aspx?pdffile=CDL-AD(2015)006-e" TargetMode="External"/><Relationship Id="rId40" Type="http://schemas.openxmlformats.org/officeDocument/2006/relationships/hyperlink" Target="http://hudoc.echr.coe.int/eng?i=001-98473" TargetMode="External"/><Relationship Id="rId45" Type="http://schemas.openxmlformats.org/officeDocument/2006/relationships/hyperlink" Target="http://www.statewatch.org/news/2015/dec/echr-russian-secret-surveillance-judgment.pdf" TargetMode="External"/><Relationship Id="rId5" Type="http://schemas.openxmlformats.org/officeDocument/2006/relationships/hyperlink" Target="http://www.ccbe.eu/fileadmin/user_upload/NTCdocument/CCBE_Letter_to_UK_Ma1_1426837203.pdf" TargetMode="External"/><Relationship Id="rId15" Type="http://schemas.openxmlformats.org/officeDocument/2006/relationships/hyperlink" Target="http://www.ccbe.eu/fileadmin/user_upload/NTCdocument/fish_report_enpdf1_1184145269.pdf" TargetMode="External"/><Relationship Id="rId23" Type="http://schemas.openxmlformats.org/officeDocument/2006/relationships/hyperlink" Target="http://hudoc.echr.coe.int/sites/eng/pages/search.aspx?i=001-57887" TargetMode="External"/><Relationship Id="rId28" Type="http://schemas.openxmlformats.org/officeDocument/2006/relationships/hyperlink" Target="http://hudoc.echr.coe.int/eng?i=001-100293" TargetMode="External"/><Relationship Id="rId36" Type="http://schemas.openxmlformats.org/officeDocument/2006/relationships/hyperlink" Target="http://www.venice.coe.int/webforms/documents/default.aspx?pdffile=CDL-AD(2015)006-e" TargetMode="External"/><Relationship Id="rId10" Type="http://schemas.openxmlformats.org/officeDocument/2006/relationships/hyperlink" Target="https://wcd.coe.int/com.instranet.InstraServlet?command=com.instranet.CmdBlobGet&amp;InstranetImage=2796355&amp;SecMode=1&amp;DocId=2286978&amp;Usage=2" TargetMode="External"/><Relationship Id="rId19" Type="http://schemas.openxmlformats.org/officeDocument/2006/relationships/hyperlink" Target="http://hudoc.echr.coe.int/eng?i=001-88780" TargetMode="External"/><Relationship Id="rId31" Type="http://schemas.openxmlformats.org/officeDocument/2006/relationships/hyperlink" Target="http://www.publications.parliament.uk/pa/ld200809/ldjudgmt/jd090311/mce-1.htm" TargetMode="External"/><Relationship Id="rId44" Type="http://schemas.openxmlformats.org/officeDocument/2006/relationships/hyperlink" Target="https://wcd.coe.int/com.instranet.InstraServlet?command=com.instranet.CmdBlobGet&amp;InstranetImage=2796355&amp;SecMode=1&amp;DocId=2286978&amp;Usage=2" TargetMode="External"/><Relationship Id="rId4" Type="http://schemas.openxmlformats.org/officeDocument/2006/relationships/hyperlink" Target="http://www.ccbe.eu/fileadmin/user_upload/NTCdocument/CCBE_letter_to_Polis1_1452607202.pdf" TargetMode="External"/><Relationship Id="rId9" Type="http://schemas.openxmlformats.org/officeDocument/2006/relationships/hyperlink" Target="http://www.venice.coe.int/webforms/documents/default.aspx?pdffile=CDL-AD(2015)006-e" TargetMode="External"/><Relationship Id="rId14" Type="http://schemas.openxmlformats.org/officeDocument/2006/relationships/hyperlink" Target="http://www.ccbe.eu/fileadmin/user_upload/NTCdocument/update_edwards_repor1_1182333982.pdf" TargetMode="External"/><Relationship Id="rId22" Type="http://schemas.openxmlformats.org/officeDocument/2006/relationships/hyperlink" Target="http://hudoc.echr.coe.int/eng?i=001-150776" TargetMode="External"/><Relationship Id="rId27" Type="http://schemas.openxmlformats.org/officeDocument/2006/relationships/hyperlink" Target="http://hudoc.echr.coe.int/eng?i=001-158159" TargetMode="External"/><Relationship Id="rId30" Type="http://schemas.openxmlformats.org/officeDocument/2006/relationships/hyperlink" Target="http://www.venice.coe.int/webforms/documents/default.aspx?pdffile=CDL-AD(2015)006-e" TargetMode="External"/><Relationship Id="rId35" Type="http://schemas.openxmlformats.org/officeDocument/2006/relationships/hyperlink" Target="http://hudoc.echr.coe.int/eng?i=001-57510" TargetMode="External"/><Relationship Id="rId43" Type="http://schemas.openxmlformats.org/officeDocument/2006/relationships/hyperlink" Target="http://hudoc.echr.coe.int/eng?i=001-75591" TargetMode="External"/><Relationship Id="rId48" Type="http://schemas.openxmlformats.org/officeDocument/2006/relationships/hyperlink" Target="http://hudoc.echr.coe.int/eng?i=001-15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13526</Words>
  <Characters>84812</Characters>
  <Application>Microsoft Office Word</Application>
  <DocSecurity>4</DocSecurity>
  <Lines>1884</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Sandu Gherasim</cp:lastModifiedBy>
  <cp:revision>2</cp:revision>
  <cp:lastPrinted>2016-06-02T15:31:00Z</cp:lastPrinted>
  <dcterms:created xsi:type="dcterms:W3CDTF">2016-06-02T16:25:00Z</dcterms:created>
  <dcterms:modified xsi:type="dcterms:W3CDTF">2016-06-02T16:25:00Z</dcterms:modified>
</cp:coreProperties>
</file>