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C2F" w:rsidRDefault="0044651D">
      <w:pPr>
        <w:widowControl w:val="0"/>
        <w:autoSpaceDE w:val="0"/>
        <w:autoSpaceDN w:val="0"/>
        <w:adjustRightInd w:val="0"/>
        <w:spacing w:after="0" w:line="200" w:lineRule="exact"/>
        <w:rPr>
          <w:rFonts w:ascii="Times New Roman" w:hAnsi="Times New Roman" w:cs="Times New Roman"/>
          <w:sz w:val="24"/>
          <w:szCs w:val="24"/>
        </w:rPr>
      </w:pPr>
      <w:r>
        <w:rPr>
          <w:noProof/>
          <w:lang w:val="ro-RO" w:eastAsia="ro-RO"/>
        </w:rPr>
        <w:drawing>
          <wp:anchor distT="0" distB="0" distL="114300" distR="114300" simplePos="0" relativeHeight="251658240" behindDoc="1" locked="0" layoutInCell="0" allowOverlap="1">
            <wp:simplePos x="0" y="0"/>
            <wp:positionH relativeFrom="page">
              <wp:posOffset>899795</wp:posOffset>
            </wp:positionH>
            <wp:positionV relativeFrom="page">
              <wp:posOffset>899795</wp:posOffset>
            </wp:positionV>
            <wp:extent cx="3695700" cy="1152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3695700" cy="1152525"/>
                    </a:xfrm>
                    <a:prstGeom prst="rect">
                      <a:avLst/>
                    </a:prstGeom>
                    <a:noFill/>
                  </pic:spPr>
                </pic:pic>
              </a:graphicData>
            </a:graphic>
          </wp:anchor>
        </w:drawing>
      </w:r>
      <w:r w:rsidR="005908D8">
        <w:rPr>
          <w:noProof/>
        </w:rPr>
        <w:pict>
          <v:line id="_x0000_s1026" style="position:absolute;z-index:-251657216;mso-position-horizontal-relative:page;mso-position-vertical-relative:page" from="69.4pt,176.35pt" to="542.6pt,176.35pt" o:allowincell="f">
            <w10:wrap anchorx="page" anchory="page"/>
          </v:line>
        </w:pict>
      </w:r>
    </w:p>
    <w:p w:rsidR="00B01C2F" w:rsidRDefault="00B01C2F">
      <w:pPr>
        <w:widowControl w:val="0"/>
        <w:autoSpaceDE w:val="0"/>
        <w:autoSpaceDN w:val="0"/>
        <w:adjustRightInd w:val="0"/>
        <w:spacing w:after="0" w:line="200" w:lineRule="exact"/>
        <w:rPr>
          <w:rFonts w:ascii="Times New Roman" w:hAnsi="Times New Roman" w:cs="Times New Roman"/>
          <w:sz w:val="24"/>
          <w:szCs w:val="24"/>
        </w:rPr>
      </w:pPr>
    </w:p>
    <w:p w:rsidR="00B01C2F" w:rsidRDefault="00D0485E" w:rsidP="00D0485E">
      <w:pPr>
        <w:widowControl w:val="0"/>
        <w:tabs>
          <w:tab w:val="left" w:pos="3648"/>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B01C2F" w:rsidRDefault="00D0485E" w:rsidP="00D0485E">
      <w:pPr>
        <w:widowControl w:val="0"/>
        <w:tabs>
          <w:tab w:val="left" w:pos="4212"/>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p>
    <w:p w:rsidR="00B01C2F" w:rsidRDefault="00B01C2F">
      <w:pPr>
        <w:widowControl w:val="0"/>
        <w:autoSpaceDE w:val="0"/>
        <w:autoSpaceDN w:val="0"/>
        <w:adjustRightInd w:val="0"/>
        <w:spacing w:after="0" w:line="200" w:lineRule="exact"/>
        <w:rPr>
          <w:rFonts w:ascii="Times New Roman" w:hAnsi="Times New Roman" w:cs="Times New Roman"/>
          <w:sz w:val="24"/>
          <w:szCs w:val="24"/>
        </w:rPr>
      </w:pPr>
    </w:p>
    <w:p w:rsidR="00B01C2F" w:rsidRDefault="00B01C2F">
      <w:pPr>
        <w:widowControl w:val="0"/>
        <w:autoSpaceDE w:val="0"/>
        <w:autoSpaceDN w:val="0"/>
        <w:adjustRightInd w:val="0"/>
        <w:spacing w:after="0" w:line="200" w:lineRule="exact"/>
        <w:rPr>
          <w:rFonts w:ascii="Times New Roman" w:hAnsi="Times New Roman" w:cs="Times New Roman"/>
          <w:sz w:val="24"/>
          <w:szCs w:val="24"/>
        </w:rPr>
      </w:pPr>
    </w:p>
    <w:p w:rsidR="00B01C2F" w:rsidRDefault="00B01C2F">
      <w:pPr>
        <w:widowControl w:val="0"/>
        <w:autoSpaceDE w:val="0"/>
        <w:autoSpaceDN w:val="0"/>
        <w:adjustRightInd w:val="0"/>
        <w:spacing w:after="0" w:line="200" w:lineRule="exact"/>
        <w:rPr>
          <w:rFonts w:ascii="Times New Roman" w:hAnsi="Times New Roman" w:cs="Times New Roman"/>
          <w:sz w:val="24"/>
          <w:szCs w:val="24"/>
        </w:rPr>
      </w:pPr>
    </w:p>
    <w:p w:rsidR="00B01C2F" w:rsidRDefault="00B01C2F">
      <w:pPr>
        <w:widowControl w:val="0"/>
        <w:autoSpaceDE w:val="0"/>
        <w:autoSpaceDN w:val="0"/>
        <w:adjustRightInd w:val="0"/>
        <w:spacing w:after="0" w:line="200" w:lineRule="exact"/>
        <w:rPr>
          <w:rFonts w:ascii="Times New Roman" w:hAnsi="Times New Roman" w:cs="Times New Roman"/>
          <w:sz w:val="24"/>
          <w:szCs w:val="24"/>
        </w:rPr>
      </w:pPr>
    </w:p>
    <w:p w:rsidR="00B01C2F" w:rsidRDefault="00B01C2F">
      <w:pPr>
        <w:widowControl w:val="0"/>
        <w:autoSpaceDE w:val="0"/>
        <w:autoSpaceDN w:val="0"/>
        <w:adjustRightInd w:val="0"/>
        <w:spacing w:after="0" w:line="200" w:lineRule="exact"/>
        <w:rPr>
          <w:rFonts w:ascii="Times New Roman" w:hAnsi="Times New Roman" w:cs="Times New Roman"/>
          <w:sz w:val="24"/>
          <w:szCs w:val="24"/>
        </w:rPr>
      </w:pPr>
    </w:p>
    <w:p w:rsidR="00B01C2F" w:rsidRDefault="00B01C2F">
      <w:pPr>
        <w:widowControl w:val="0"/>
        <w:autoSpaceDE w:val="0"/>
        <w:autoSpaceDN w:val="0"/>
        <w:adjustRightInd w:val="0"/>
        <w:spacing w:after="0" w:line="200" w:lineRule="exact"/>
        <w:rPr>
          <w:rFonts w:ascii="Times New Roman" w:hAnsi="Times New Roman" w:cs="Times New Roman"/>
          <w:sz w:val="24"/>
          <w:szCs w:val="24"/>
        </w:rPr>
      </w:pPr>
    </w:p>
    <w:p w:rsidR="00B01C2F" w:rsidRDefault="00B01C2F">
      <w:pPr>
        <w:widowControl w:val="0"/>
        <w:autoSpaceDE w:val="0"/>
        <w:autoSpaceDN w:val="0"/>
        <w:adjustRightInd w:val="0"/>
        <w:spacing w:after="0" w:line="379" w:lineRule="exact"/>
        <w:rPr>
          <w:rFonts w:ascii="Times New Roman" w:hAnsi="Times New Roman" w:cs="Times New Roman"/>
          <w:sz w:val="24"/>
          <w:szCs w:val="24"/>
        </w:rPr>
      </w:pPr>
    </w:p>
    <w:p w:rsidR="00B01C2F" w:rsidRPr="00B6273A" w:rsidRDefault="00665044" w:rsidP="00B6273A">
      <w:pPr>
        <w:widowControl w:val="0"/>
        <w:autoSpaceDE w:val="0"/>
        <w:autoSpaceDN w:val="0"/>
        <w:adjustRightInd w:val="0"/>
        <w:spacing w:after="0"/>
        <w:ind w:left="3"/>
        <w:rPr>
          <w:rFonts w:ascii="Times New Roman" w:hAnsi="Times New Roman" w:cs="Times New Roman"/>
          <w:sz w:val="24"/>
          <w:szCs w:val="24"/>
        </w:rPr>
      </w:pPr>
      <w:r w:rsidRPr="00B6273A">
        <w:rPr>
          <w:rFonts w:ascii="Arial" w:hAnsi="Arial" w:cs="Arial"/>
          <w:b/>
          <w:bCs/>
          <w:sz w:val="24"/>
          <w:szCs w:val="24"/>
        </w:rPr>
        <w:t>Pro</w:t>
      </w:r>
      <w:r w:rsidR="003D527C" w:rsidRPr="00B6273A">
        <w:rPr>
          <w:rFonts w:ascii="Arial" w:hAnsi="Arial" w:cs="Arial"/>
          <w:b/>
          <w:bCs/>
          <w:sz w:val="24"/>
          <w:szCs w:val="24"/>
        </w:rPr>
        <w:t xml:space="preserve">iect </w:t>
      </w:r>
      <w:r w:rsidRPr="00B6273A">
        <w:rPr>
          <w:rFonts w:ascii="Arial" w:hAnsi="Arial" w:cs="Arial"/>
          <w:b/>
          <w:bCs/>
          <w:sz w:val="24"/>
          <w:szCs w:val="24"/>
        </w:rPr>
        <w:t>de recomanda</w:t>
      </w:r>
      <w:r w:rsidR="003D527C" w:rsidRPr="00B6273A">
        <w:rPr>
          <w:rFonts w:ascii="Arial" w:hAnsi="Arial" w:cs="Arial"/>
          <w:b/>
          <w:bCs/>
          <w:sz w:val="24"/>
          <w:szCs w:val="24"/>
        </w:rPr>
        <w:t xml:space="preserve">re ce urmează a fi </w:t>
      </w:r>
      <w:r w:rsidR="00204655" w:rsidRPr="00B6273A">
        <w:rPr>
          <w:rFonts w:ascii="Arial" w:hAnsi="Arial" w:cs="Arial"/>
          <w:b/>
          <w:bCs/>
          <w:sz w:val="24"/>
          <w:szCs w:val="24"/>
        </w:rPr>
        <w:t xml:space="preserve">supus adoptării </w:t>
      </w:r>
      <w:r w:rsidR="003D527C" w:rsidRPr="00B6273A">
        <w:rPr>
          <w:rFonts w:ascii="Arial" w:hAnsi="Arial" w:cs="Arial"/>
          <w:b/>
          <w:bCs/>
          <w:sz w:val="24"/>
          <w:szCs w:val="24"/>
        </w:rPr>
        <w:t xml:space="preserve">de </w:t>
      </w:r>
      <w:r w:rsidR="00204655" w:rsidRPr="00B6273A">
        <w:rPr>
          <w:rFonts w:ascii="Arial" w:hAnsi="Arial" w:cs="Arial"/>
          <w:b/>
          <w:bCs/>
          <w:sz w:val="24"/>
          <w:szCs w:val="24"/>
        </w:rPr>
        <w:t xml:space="preserve">către </w:t>
      </w:r>
      <w:r w:rsidR="003D527C" w:rsidRPr="00B6273A">
        <w:rPr>
          <w:rFonts w:ascii="Arial" w:hAnsi="Arial" w:cs="Arial"/>
          <w:b/>
          <w:bCs/>
          <w:sz w:val="24"/>
          <w:szCs w:val="24"/>
        </w:rPr>
        <w:t>Conferința O</w:t>
      </w:r>
      <w:r w:rsidR="00BB31AA" w:rsidRPr="00B6273A">
        <w:rPr>
          <w:rFonts w:ascii="Arial" w:hAnsi="Arial" w:cs="Arial"/>
          <w:b/>
          <w:bCs/>
          <w:sz w:val="24"/>
          <w:szCs w:val="24"/>
        </w:rPr>
        <w:t>rganizațiilor Internaționale Ne</w:t>
      </w:r>
      <w:r w:rsidR="003D527C" w:rsidRPr="00B6273A">
        <w:rPr>
          <w:rFonts w:ascii="Arial" w:hAnsi="Arial" w:cs="Arial"/>
          <w:b/>
          <w:bCs/>
          <w:sz w:val="24"/>
          <w:szCs w:val="24"/>
        </w:rPr>
        <w:t>guvernamentale ale Consiliului Europei</w:t>
      </w:r>
      <w:r w:rsidRPr="00B6273A">
        <w:rPr>
          <w:rFonts w:ascii="Arial" w:hAnsi="Arial" w:cs="Arial"/>
          <w:b/>
          <w:bCs/>
          <w:sz w:val="24"/>
          <w:szCs w:val="24"/>
        </w:rPr>
        <w:t xml:space="preserve"> </w:t>
      </w:r>
      <w:r w:rsidR="003D527C" w:rsidRPr="00B6273A">
        <w:rPr>
          <w:rFonts w:ascii="Arial" w:hAnsi="Arial" w:cs="Arial"/>
          <w:b/>
          <w:bCs/>
          <w:sz w:val="24"/>
          <w:szCs w:val="24"/>
        </w:rPr>
        <w:t>din 27 ianuarie 2017</w:t>
      </w:r>
    </w:p>
    <w:p w:rsidR="003D527C" w:rsidRPr="00B6273A" w:rsidRDefault="003D527C" w:rsidP="00B6273A">
      <w:pPr>
        <w:widowControl w:val="0"/>
        <w:overflowPunct w:val="0"/>
        <w:autoSpaceDE w:val="0"/>
        <w:autoSpaceDN w:val="0"/>
        <w:adjustRightInd w:val="0"/>
        <w:spacing w:after="0"/>
        <w:ind w:left="3"/>
        <w:jc w:val="both"/>
        <w:rPr>
          <w:rFonts w:ascii="Arial" w:hAnsi="Arial" w:cs="Arial"/>
          <w:b/>
          <w:bCs/>
          <w:sz w:val="24"/>
          <w:szCs w:val="24"/>
        </w:rPr>
      </w:pPr>
    </w:p>
    <w:p w:rsidR="00B01C2F" w:rsidRPr="00B6273A" w:rsidRDefault="00665044" w:rsidP="00B6273A">
      <w:pPr>
        <w:widowControl w:val="0"/>
        <w:overflowPunct w:val="0"/>
        <w:autoSpaceDE w:val="0"/>
        <w:autoSpaceDN w:val="0"/>
        <w:adjustRightInd w:val="0"/>
        <w:spacing w:after="0"/>
        <w:ind w:left="3"/>
        <w:jc w:val="both"/>
        <w:rPr>
          <w:rFonts w:ascii="Times New Roman" w:hAnsi="Times New Roman" w:cs="Times New Roman"/>
          <w:sz w:val="24"/>
          <w:szCs w:val="24"/>
        </w:rPr>
      </w:pPr>
      <w:r w:rsidRPr="00B6273A">
        <w:rPr>
          <w:rFonts w:ascii="Arial" w:hAnsi="Arial" w:cs="Arial"/>
          <w:b/>
          <w:bCs/>
          <w:sz w:val="24"/>
          <w:szCs w:val="24"/>
        </w:rPr>
        <w:t>« Su</w:t>
      </w:r>
      <w:r w:rsidR="003D527C" w:rsidRPr="00B6273A">
        <w:rPr>
          <w:rFonts w:ascii="Arial" w:hAnsi="Arial" w:cs="Arial"/>
          <w:b/>
          <w:bCs/>
          <w:sz w:val="24"/>
          <w:szCs w:val="24"/>
        </w:rPr>
        <w:t xml:space="preserve">pravegherea </w:t>
      </w:r>
      <w:r w:rsidR="00A71DF5" w:rsidRPr="00B6273A">
        <w:rPr>
          <w:rFonts w:ascii="Arial" w:hAnsi="Arial" w:cs="Arial"/>
          <w:b/>
          <w:bCs/>
          <w:sz w:val="24"/>
          <w:szCs w:val="24"/>
        </w:rPr>
        <w:t>avocaților:</w:t>
      </w:r>
      <w:r w:rsidRPr="00B6273A">
        <w:rPr>
          <w:rFonts w:ascii="Arial" w:hAnsi="Arial" w:cs="Arial"/>
          <w:b/>
          <w:bCs/>
          <w:sz w:val="24"/>
          <w:szCs w:val="24"/>
        </w:rPr>
        <w:t xml:space="preserve"> </w:t>
      </w:r>
      <w:r w:rsidR="003D527C" w:rsidRPr="00B6273A">
        <w:rPr>
          <w:rFonts w:ascii="Arial" w:hAnsi="Arial" w:cs="Arial"/>
          <w:b/>
          <w:bCs/>
          <w:sz w:val="24"/>
          <w:szCs w:val="24"/>
        </w:rPr>
        <w:t>necesitatea unor norme care să garanteze secretul profesional</w:t>
      </w:r>
      <w:r w:rsidRPr="00B6273A">
        <w:rPr>
          <w:rFonts w:ascii="Arial" w:hAnsi="Arial" w:cs="Arial"/>
          <w:b/>
          <w:bCs/>
          <w:sz w:val="24"/>
          <w:szCs w:val="24"/>
        </w:rPr>
        <w:t xml:space="preserve"> »</w:t>
      </w:r>
    </w:p>
    <w:p w:rsidR="00B01C2F" w:rsidRPr="00B6273A" w:rsidRDefault="005908D8" w:rsidP="00B6273A">
      <w:pPr>
        <w:widowControl w:val="0"/>
        <w:autoSpaceDE w:val="0"/>
        <w:autoSpaceDN w:val="0"/>
        <w:adjustRightInd w:val="0"/>
        <w:spacing w:after="0"/>
        <w:rPr>
          <w:rFonts w:ascii="Times New Roman" w:hAnsi="Times New Roman" w:cs="Times New Roman"/>
          <w:sz w:val="24"/>
          <w:szCs w:val="24"/>
        </w:rPr>
      </w:pPr>
      <w:r>
        <w:rPr>
          <w:noProof/>
          <w:sz w:val="24"/>
          <w:szCs w:val="24"/>
        </w:rPr>
        <w:pict>
          <v:line id="_x0000_s1027" style="position:absolute;z-index:-251656192" from="-1.4pt,9.25pt" to="471.7pt,9.25pt" o:allowincell="f"/>
        </w:pict>
      </w:r>
    </w:p>
    <w:p w:rsidR="00B01C2F" w:rsidRPr="00B6273A" w:rsidRDefault="00B01C2F" w:rsidP="00B6273A">
      <w:pPr>
        <w:widowControl w:val="0"/>
        <w:autoSpaceDE w:val="0"/>
        <w:autoSpaceDN w:val="0"/>
        <w:adjustRightInd w:val="0"/>
        <w:spacing w:after="0"/>
        <w:rPr>
          <w:rFonts w:ascii="Times New Roman" w:hAnsi="Times New Roman" w:cs="Times New Roman"/>
          <w:sz w:val="24"/>
          <w:szCs w:val="24"/>
        </w:rPr>
      </w:pPr>
    </w:p>
    <w:p w:rsidR="00B01C2F" w:rsidRPr="00B6273A" w:rsidRDefault="003D527C" w:rsidP="00B6273A">
      <w:pPr>
        <w:widowControl w:val="0"/>
        <w:overflowPunct w:val="0"/>
        <w:autoSpaceDE w:val="0"/>
        <w:autoSpaceDN w:val="0"/>
        <w:adjustRightInd w:val="0"/>
        <w:spacing w:after="0"/>
        <w:ind w:left="3"/>
        <w:jc w:val="both"/>
        <w:rPr>
          <w:rFonts w:ascii="Arial" w:hAnsi="Arial" w:cs="Arial"/>
          <w:sz w:val="24"/>
          <w:szCs w:val="24"/>
        </w:rPr>
      </w:pPr>
      <w:r w:rsidRPr="00B6273A">
        <w:rPr>
          <w:rFonts w:ascii="Arial" w:hAnsi="Arial" w:cs="Arial"/>
          <w:bCs/>
          <w:sz w:val="24"/>
          <w:szCs w:val="24"/>
        </w:rPr>
        <w:t>Conferința O</w:t>
      </w:r>
      <w:r w:rsidR="00BB31AA" w:rsidRPr="00B6273A">
        <w:rPr>
          <w:rFonts w:ascii="Arial" w:hAnsi="Arial" w:cs="Arial"/>
          <w:bCs/>
          <w:sz w:val="24"/>
          <w:szCs w:val="24"/>
        </w:rPr>
        <w:t>rganizațiilor Internaționale Ne</w:t>
      </w:r>
      <w:r w:rsidRPr="00B6273A">
        <w:rPr>
          <w:rFonts w:ascii="Arial" w:hAnsi="Arial" w:cs="Arial"/>
          <w:bCs/>
          <w:sz w:val="24"/>
          <w:szCs w:val="24"/>
        </w:rPr>
        <w:t xml:space="preserve">guvernamentale ale Consiliului </w:t>
      </w:r>
      <w:r w:rsidR="00A71DF5" w:rsidRPr="00B6273A">
        <w:rPr>
          <w:rFonts w:ascii="Arial" w:hAnsi="Arial" w:cs="Arial"/>
          <w:bCs/>
          <w:sz w:val="24"/>
          <w:szCs w:val="24"/>
        </w:rPr>
        <w:t>Europei</w:t>
      </w:r>
      <w:r w:rsidR="00A71DF5" w:rsidRPr="00B6273A">
        <w:rPr>
          <w:rFonts w:ascii="Arial" w:hAnsi="Arial" w:cs="Arial"/>
          <w:sz w:val="24"/>
          <w:szCs w:val="24"/>
        </w:rPr>
        <w:t>:</w:t>
      </w:r>
    </w:p>
    <w:p w:rsidR="00B01C2F" w:rsidRPr="00B6273A" w:rsidRDefault="00B01C2F" w:rsidP="00B6273A">
      <w:pPr>
        <w:widowControl w:val="0"/>
        <w:autoSpaceDE w:val="0"/>
        <w:autoSpaceDN w:val="0"/>
        <w:adjustRightInd w:val="0"/>
        <w:spacing w:after="0"/>
        <w:rPr>
          <w:rFonts w:ascii="Times New Roman" w:hAnsi="Times New Roman" w:cs="Times New Roman"/>
          <w:sz w:val="24"/>
          <w:szCs w:val="24"/>
        </w:rPr>
      </w:pPr>
    </w:p>
    <w:p w:rsidR="00B01C2F" w:rsidRPr="00B6273A" w:rsidRDefault="003D527C" w:rsidP="00B6273A">
      <w:pPr>
        <w:widowControl w:val="0"/>
        <w:overflowPunct w:val="0"/>
        <w:autoSpaceDE w:val="0"/>
        <w:autoSpaceDN w:val="0"/>
        <w:adjustRightInd w:val="0"/>
        <w:spacing w:after="0"/>
        <w:ind w:left="3"/>
        <w:jc w:val="both"/>
        <w:rPr>
          <w:rFonts w:ascii="Times New Roman" w:hAnsi="Times New Roman" w:cs="Times New Roman"/>
          <w:sz w:val="24"/>
          <w:szCs w:val="24"/>
        </w:rPr>
      </w:pPr>
      <w:r w:rsidRPr="00B6273A">
        <w:rPr>
          <w:rFonts w:ascii="Arial" w:hAnsi="Arial" w:cs="Arial"/>
          <w:b/>
          <w:bCs/>
          <w:sz w:val="24"/>
          <w:szCs w:val="24"/>
        </w:rPr>
        <w:t xml:space="preserve">Având în vedere </w:t>
      </w:r>
      <w:r w:rsidRPr="00B6273A">
        <w:rPr>
          <w:rFonts w:ascii="Arial" w:hAnsi="Arial" w:cs="Arial"/>
          <w:bCs/>
          <w:sz w:val="24"/>
          <w:szCs w:val="24"/>
        </w:rPr>
        <w:t>preocupările exprimate de mai multe organizații internaționale guvernamentale și nonguvernamentale</w:t>
      </w:r>
      <w:r w:rsidR="00A71DF5" w:rsidRPr="00B6273A">
        <w:rPr>
          <w:rStyle w:val="Referinnotdesubsol"/>
          <w:rFonts w:ascii="Arial" w:hAnsi="Arial" w:cs="Arial"/>
          <w:bCs/>
          <w:sz w:val="24"/>
          <w:szCs w:val="24"/>
        </w:rPr>
        <w:footnoteReference w:id="1"/>
      </w:r>
      <w:r w:rsidR="00D33D1A" w:rsidRPr="00B6273A">
        <w:rPr>
          <w:rFonts w:ascii="Arial" w:hAnsi="Arial" w:cs="Arial"/>
          <w:bCs/>
          <w:sz w:val="24"/>
          <w:szCs w:val="24"/>
        </w:rPr>
        <w:t xml:space="preserve"> </w:t>
      </w:r>
      <w:r w:rsidRPr="00B6273A">
        <w:rPr>
          <w:rFonts w:ascii="Arial" w:hAnsi="Arial" w:cs="Arial"/>
          <w:bCs/>
          <w:sz w:val="24"/>
          <w:szCs w:val="24"/>
        </w:rPr>
        <w:t xml:space="preserve">legate de competențele de anchetă secrete sau insuficient controlate de care dispun organismele publice, </w:t>
      </w:r>
      <w:r w:rsidRPr="00B6273A">
        <w:rPr>
          <w:rFonts w:ascii="Arial" w:hAnsi="Arial" w:cs="Arial"/>
          <w:sz w:val="24"/>
          <w:szCs w:val="24"/>
        </w:rPr>
        <w:t xml:space="preserve">precum și de folosire a unor tehnologii de interceptare și de urmărire deosebit de sofisticate și de mare eficacitate pentru </w:t>
      </w:r>
      <w:r w:rsidR="000279DA" w:rsidRPr="00B6273A">
        <w:rPr>
          <w:rFonts w:ascii="Arial" w:hAnsi="Arial" w:cs="Arial"/>
          <w:sz w:val="24"/>
          <w:szCs w:val="24"/>
        </w:rPr>
        <w:t>accesul la datele de comunicare ale cetățenilor, de manieră nediscriminarorie, pe scară largă și</w:t>
      </w:r>
      <w:r w:rsidR="00C328BE" w:rsidRPr="00B6273A">
        <w:rPr>
          <w:rFonts w:ascii="Arial" w:hAnsi="Arial" w:cs="Arial"/>
          <w:sz w:val="24"/>
          <w:szCs w:val="24"/>
        </w:rPr>
        <w:t xml:space="preserve"> în absența oricărei suspiciuni</w:t>
      </w:r>
      <w:r w:rsidR="00665044" w:rsidRPr="00B6273A">
        <w:rPr>
          <w:rFonts w:ascii="Arial" w:hAnsi="Arial" w:cs="Arial"/>
          <w:sz w:val="24"/>
          <w:szCs w:val="24"/>
        </w:rPr>
        <w:t>;</w:t>
      </w:r>
    </w:p>
    <w:p w:rsidR="00B01C2F" w:rsidRPr="00B6273A" w:rsidRDefault="00B01C2F" w:rsidP="00B6273A">
      <w:pPr>
        <w:widowControl w:val="0"/>
        <w:autoSpaceDE w:val="0"/>
        <w:autoSpaceDN w:val="0"/>
        <w:adjustRightInd w:val="0"/>
        <w:spacing w:after="0"/>
        <w:rPr>
          <w:rFonts w:ascii="Times New Roman" w:hAnsi="Times New Roman" w:cs="Times New Roman"/>
          <w:sz w:val="24"/>
          <w:szCs w:val="24"/>
        </w:rPr>
      </w:pPr>
    </w:p>
    <w:p w:rsidR="00B01C2F" w:rsidRPr="00B6273A" w:rsidRDefault="00665044" w:rsidP="00B6273A">
      <w:pPr>
        <w:widowControl w:val="0"/>
        <w:overflowPunct w:val="0"/>
        <w:autoSpaceDE w:val="0"/>
        <w:autoSpaceDN w:val="0"/>
        <w:adjustRightInd w:val="0"/>
        <w:spacing w:after="0"/>
        <w:ind w:left="3"/>
        <w:jc w:val="both"/>
        <w:rPr>
          <w:rFonts w:ascii="Times New Roman" w:hAnsi="Times New Roman" w:cs="Times New Roman"/>
          <w:sz w:val="24"/>
          <w:szCs w:val="24"/>
        </w:rPr>
      </w:pPr>
      <w:r w:rsidRPr="00B6273A">
        <w:rPr>
          <w:rFonts w:ascii="Arial" w:hAnsi="Arial" w:cs="Arial"/>
          <w:b/>
          <w:bCs/>
          <w:sz w:val="24"/>
          <w:szCs w:val="24"/>
        </w:rPr>
        <w:t>S</w:t>
      </w:r>
      <w:r w:rsidR="00973B32" w:rsidRPr="00B6273A">
        <w:rPr>
          <w:rFonts w:ascii="Arial" w:hAnsi="Arial" w:cs="Arial"/>
          <w:b/>
          <w:bCs/>
          <w:sz w:val="24"/>
          <w:szCs w:val="24"/>
        </w:rPr>
        <w:t xml:space="preserve">ubliniind faptul </w:t>
      </w:r>
      <w:r w:rsidR="00973B32" w:rsidRPr="00B6273A">
        <w:rPr>
          <w:rFonts w:ascii="Arial" w:hAnsi="Arial" w:cs="Arial"/>
          <w:bCs/>
          <w:sz w:val="24"/>
          <w:szCs w:val="24"/>
        </w:rPr>
        <w:t>că</w:t>
      </w:r>
      <w:r w:rsidR="00973B32" w:rsidRPr="00B6273A">
        <w:rPr>
          <w:rFonts w:ascii="Arial" w:hAnsi="Arial" w:cs="Arial"/>
          <w:b/>
          <w:bCs/>
          <w:sz w:val="24"/>
          <w:szCs w:val="24"/>
        </w:rPr>
        <w:t xml:space="preserve"> </w:t>
      </w:r>
      <w:r w:rsidR="00973B32" w:rsidRPr="00B6273A">
        <w:rPr>
          <w:rFonts w:ascii="Arial" w:hAnsi="Arial" w:cs="Arial"/>
          <w:bCs/>
          <w:sz w:val="24"/>
          <w:szCs w:val="24"/>
        </w:rPr>
        <w:t xml:space="preserve">posibilitatea folosirii unor anumite tehnologii de interceptare și de urmărire în lupta împotriva terorismului și a crimei organizate </w:t>
      </w:r>
      <w:r w:rsidR="00FC630F" w:rsidRPr="00B6273A">
        <w:rPr>
          <w:rFonts w:ascii="Arial" w:hAnsi="Arial" w:cs="Arial"/>
          <w:bCs/>
          <w:sz w:val="24"/>
          <w:szCs w:val="24"/>
        </w:rPr>
        <w:t>ridică o serie de probleme, în special legate de compatibilitatea acestor ingerințe cu principiile secretului profesional</w:t>
      </w:r>
      <w:r w:rsidR="007565F9" w:rsidRPr="00B6273A">
        <w:rPr>
          <w:rStyle w:val="Referinnotdesubsol"/>
          <w:rFonts w:ascii="Arial" w:hAnsi="Arial" w:cs="Arial"/>
          <w:bCs/>
          <w:sz w:val="24"/>
          <w:szCs w:val="24"/>
        </w:rPr>
        <w:footnoteReference w:id="2"/>
      </w:r>
      <w:r w:rsidRPr="00B6273A">
        <w:rPr>
          <w:rFonts w:ascii="Arial" w:hAnsi="Arial" w:cs="Arial"/>
          <w:sz w:val="24"/>
          <w:szCs w:val="24"/>
        </w:rPr>
        <w:t>;</w:t>
      </w:r>
    </w:p>
    <w:p w:rsidR="00D33D1A" w:rsidRPr="00B6273A" w:rsidRDefault="00D33D1A" w:rsidP="00B6273A">
      <w:pPr>
        <w:widowControl w:val="0"/>
        <w:overflowPunct w:val="0"/>
        <w:autoSpaceDE w:val="0"/>
        <w:autoSpaceDN w:val="0"/>
        <w:adjustRightInd w:val="0"/>
        <w:spacing w:after="0"/>
        <w:ind w:left="3"/>
        <w:jc w:val="both"/>
        <w:rPr>
          <w:rFonts w:ascii="Arial" w:hAnsi="Arial" w:cs="Arial"/>
          <w:b/>
          <w:bCs/>
          <w:sz w:val="24"/>
          <w:szCs w:val="24"/>
        </w:rPr>
      </w:pPr>
    </w:p>
    <w:p w:rsidR="00B01C2F" w:rsidRPr="00B6273A" w:rsidRDefault="00665044" w:rsidP="00B6273A">
      <w:pPr>
        <w:widowControl w:val="0"/>
        <w:overflowPunct w:val="0"/>
        <w:autoSpaceDE w:val="0"/>
        <w:autoSpaceDN w:val="0"/>
        <w:adjustRightInd w:val="0"/>
        <w:spacing w:after="0"/>
        <w:ind w:left="3"/>
        <w:jc w:val="both"/>
        <w:rPr>
          <w:rFonts w:ascii="Times New Roman" w:hAnsi="Times New Roman" w:cs="Times New Roman"/>
          <w:sz w:val="24"/>
          <w:szCs w:val="24"/>
        </w:rPr>
      </w:pPr>
      <w:r w:rsidRPr="00B6273A">
        <w:rPr>
          <w:rFonts w:ascii="Arial" w:hAnsi="Arial" w:cs="Arial"/>
          <w:b/>
          <w:bCs/>
          <w:sz w:val="24"/>
          <w:szCs w:val="24"/>
        </w:rPr>
        <w:t>Consid</w:t>
      </w:r>
      <w:r w:rsidR="00D33D1A" w:rsidRPr="00B6273A">
        <w:rPr>
          <w:rFonts w:ascii="Arial" w:hAnsi="Arial" w:cs="Arial"/>
          <w:b/>
          <w:bCs/>
          <w:sz w:val="24"/>
          <w:szCs w:val="24"/>
        </w:rPr>
        <w:t xml:space="preserve">erând </w:t>
      </w:r>
      <w:r w:rsidR="00D33D1A" w:rsidRPr="00B6273A">
        <w:rPr>
          <w:rFonts w:ascii="Arial" w:hAnsi="Arial" w:cs="Arial"/>
          <w:bCs/>
          <w:sz w:val="24"/>
          <w:szCs w:val="24"/>
        </w:rPr>
        <w:t>că activitățile</w:t>
      </w:r>
      <w:r w:rsidR="00D33D1A" w:rsidRPr="00B6273A">
        <w:rPr>
          <w:rFonts w:ascii="Arial" w:hAnsi="Arial" w:cs="Arial"/>
          <w:b/>
          <w:bCs/>
          <w:sz w:val="24"/>
          <w:szCs w:val="24"/>
        </w:rPr>
        <w:t xml:space="preserve"> </w:t>
      </w:r>
      <w:r w:rsidRPr="00B6273A">
        <w:rPr>
          <w:rFonts w:ascii="Arial" w:hAnsi="Arial" w:cs="Arial"/>
          <w:sz w:val="24"/>
          <w:szCs w:val="24"/>
        </w:rPr>
        <w:t>de su</w:t>
      </w:r>
      <w:r w:rsidR="00BD76C5" w:rsidRPr="00B6273A">
        <w:rPr>
          <w:rFonts w:ascii="Arial" w:hAnsi="Arial" w:cs="Arial"/>
          <w:sz w:val="24"/>
          <w:szCs w:val="24"/>
        </w:rPr>
        <w:t>praveghere ale « g</w:t>
      </w:r>
      <w:r w:rsidRPr="00B6273A">
        <w:rPr>
          <w:rFonts w:ascii="Arial" w:hAnsi="Arial" w:cs="Arial"/>
          <w:sz w:val="24"/>
          <w:szCs w:val="24"/>
        </w:rPr>
        <w:t>uverne</w:t>
      </w:r>
      <w:r w:rsidR="00BD76C5" w:rsidRPr="00B6273A">
        <w:rPr>
          <w:rFonts w:ascii="Arial" w:hAnsi="Arial" w:cs="Arial"/>
          <w:sz w:val="24"/>
          <w:szCs w:val="24"/>
        </w:rPr>
        <w:t>lor</w:t>
      </w:r>
      <w:r w:rsidRPr="00B6273A">
        <w:rPr>
          <w:rFonts w:ascii="Arial" w:hAnsi="Arial" w:cs="Arial"/>
          <w:sz w:val="24"/>
          <w:szCs w:val="24"/>
        </w:rPr>
        <w:t xml:space="preserve"> » p</w:t>
      </w:r>
      <w:r w:rsidR="00BD76C5" w:rsidRPr="00B6273A">
        <w:rPr>
          <w:rFonts w:ascii="Arial" w:hAnsi="Arial" w:cs="Arial"/>
          <w:sz w:val="24"/>
          <w:szCs w:val="24"/>
        </w:rPr>
        <w:t>ot implica guvernul național în sine</w:t>
      </w:r>
      <w:r w:rsidRPr="00B6273A">
        <w:rPr>
          <w:rFonts w:ascii="Arial" w:hAnsi="Arial" w:cs="Arial"/>
          <w:sz w:val="24"/>
          <w:szCs w:val="24"/>
        </w:rPr>
        <w:t xml:space="preserve">, </w:t>
      </w:r>
      <w:r w:rsidR="00BD76C5" w:rsidRPr="00B6273A">
        <w:rPr>
          <w:rFonts w:ascii="Arial" w:hAnsi="Arial" w:cs="Arial"/>
          <w:sz w:val="24"/>
          <w:szCs w:val="24"/>
        </w:rPr>
        <w:t xml:space="preserve">dar și diferite nivele de guvern </w:t>
      </w:r>
      <w:r w:rsidRPr="00B6273A">
        <w:rPr>
          <w:rFonts w:ascii="Arial" w:hAnsi="Arial" w:cs="Arial"/>
          <w:sz w:val="24"/>
          <w:szCs w:val="24"/>
        </w:rPr>
        <w:t>(f</w:t>
      </w:r>
      <w:r w:rsidR="00BD76C5" w:rsidRPr="00B6273A">
        <w:rPr>
          <w:rFonts w:ascii="Arial" w:hAnsi="Arial" w:cs="Arial"/>
          <w:sz w:val="24"/>
          <w:szCs w:val="24"/>
        </w:rPr>
        <w:t xml:space="preserve">ederal, </w:t>
      </w:r>
      <w:r w:rsidRPr="00B6273A">
        <w:rPr>
          <w:rFonts w:ascii="Arial" w:hAnsi="Arial" w:cs="Arial"/>
          <w:sz w:val="24"/>
          <w:szCs w:val="24"/>
        </w:rPr>
        <w:t xml:space="preserve">central </w:t>
      </w:r>
      <w:r w:rsidR="00BD76C5" w:rsidRPr="00B6273A">
        <w:rPr>
          <w:rFonts w:ascii="Arial" w:hAnsi="Arial" w:cs="Arial"/>
          <w:sz w:val="24"/>
          <w:szCs w:val="24"/>
        </w:rPr>
        <w:t xml:space="preserve">sau </w:t>
      </w:r>
      <w:r w:rsidRPr="00B6273A">
        <w:rPr>
          <w:rFonts w:ascii="Arial" w:hAnsi="Arial" w:cs="Arial"/>
          <w:sz w:val="24"/>
          <w:szCs w:val="24"/>
        </w:rPr>
        <w:t>local), organisme</w:t>
      </w:r>
      <w:r w:rsidR="00BD76C5" w:rsidRPr="00B6273A">
        <w:rPr>
          <w:rFonts w:ascii="Arial" w:hAnsi="Arial" w:cs="Arial"/>
          <w:sz w:val="24"/>
          <w:szCs w:val="24"/>
        </w:rPr>
        <w:t xml:space="preserve">le guvernamentale, autoritățile fiscale, organismele independente ale funcției publice, </w:t>
      </w:r>
      <w:r w:rsidRPr="00B6273A">
        <w:rPr>
          <w:rFonts w:ascii="Arial" w:hAnsi="Arial" w:cs="Arial"/>
          <w:sz w:val="24"/>
          <w:szCs w:val="24"/>
        </w:rPr>
        <w:lastRenderedPageBreak/>
        <w:t>poli</w:t>
      </w:r>
      <w:r w:rsidR="00BD76C5" w:rsidRPr="00B6273A">
        <w:rPr>
          <w:rFonts w:ascii="Arial" w:hAnsi="Arial" w:cs="Arial"/>
          <w:sz w:val="24"/>
          <w:szCs w:val="24"/>
        </w:rPr>
        <w:t xml:space="preserve">ția, </w:t>
      </w:r>
      <w:r w:rsidRPr="00B6273A">
        <w:rPr>
          <w:rFonts w:ascii="Arial" w:hAnsi="Arial" w:cs="Arial"/>
          <w:sz w:val="24"/>
          <w:szCs w:val="24"/>
        </w:rPr>
        <w:t>procur</w:t>
      </w:r>
      <w:r w:rsidR="00BD76C5" w:rsidRPr="00B6273A">
        <w:rPr>
          <w:rFonts w:ascii="Arial" w:hAnsi="Arial" w:cs="Arial"/>
          <w:sz w:val="24"/>
          <w:szCs w:val="24"/>
        </w:rPr>
        <w:t>orii</w:t>
      </w:r>
      <w:r w:rsidRPr="00B6273A">
        <w:rPr>
          <w:rFonts w:ascii="Arial" w:hAnsi="Arial" w:cs="Arial"/>
          <w:sz w:val="24"/>
          <w:szCs w:val="24"/>
        </w:rPr>
        <w:t>, servic</w:t>
      </w:r>
      <w:r w:rsidR="00BD76C5" w:rsidRPr="00B6273A">
        <w:rPr>
          <w:rFonts w:ascii="Arial" w:hAnsi="Arial" w:cs="Arial"/>
          <w:sz w:val="24"/>
          <w:szCs w:val="24"/>
        </w:rPr>
        <w:t>iile de informații, etc</w:t>
      </w:r>
      <w:r w:rsidRPr="00B6273A">
        <w:rPr>
          <w:rFonts w:ascii="Arial" w:hAnsi="Arial" w:cs="Arial"/>
          <w:sz w:val="24"/>
          <w:szCs w:val="24"/>
        </w:rPr>
        <w:t xml:space="preserve">., </w:t>
      </w:r>
      <w:r w:rsidR="00BD76C5" w:rsidRPr="00B6273A">
        <w:rPr>
          <w:rFonts w:ascii="Arial" w:hAnsi="Arial" w:cs="Arial"/>
          <w:sz w:val="24"/>
          <w:szCs w:val="24"/>
        </w:rPr>
        <w:t>și pot include externalizarea acestor activități de către guvern</w:t>
      </w:r>
      <w:r w:rsidRPr="00B6273A">
        <w:rPr>
          <w:rFonts w:ascii="Arial" w:hAnsi="Arial" w:cs="Arial"/>
          <w:sz w:val="24"/>
          <w:szCs w:val="24"/>
        </w:rPr>
        <w:t>;</w:t>
      </w:r>
    </w:p>
    <w:p w:rsidR="00CF6863" w:rsidRPr="00B6273A" w:rsidRDefault="00CF6863" w:rsidP="00B6273A">
      <w:pPr>
        <w:widowControl w:val="0"/>
        <w:overflowPunct w:val="0"/>
        <w:autoSpaceDE w:val="0"/>
        <w:autoSpaceDN w:val="0"/>
        <w:adjustRightInd w:val="0"/>
        <w:spacing w:after="0"/>
        <w:ind w:left="3"/>
        <w:jc w:val="both"/>
        <w:rPr>
          <w:rFonts w:ascii="Arial" w:hAnsi="Arial" w:cs="Arial"/>
          <w:b/>
          <w:bCs/>
          <w:sz w:val="24"/>
          <w:szCs w:val="24"/>
        </w:rPr>
      </w:pPr>
    </w:p>
    <w:p w:rsidR="00CF6863" w:rsidRPr="00B6273A" w:rsidRDefault="00CF6863" w:rsidP="00B6273A">
      <w:pPr>
        <w:widowControl w:val="0"/>
        <w:overflowPunct w:val="0"/>
        <w:autoSpaceDE w:val="0"/>
        <w:autoSpaceDN w:val="0"/>
        <w:adjustRightInd w:val="0"/>
        <w:spacing w:after="0"/>
        <w:ind w:left="3"/>
        <w:jc w:val="both"/>
        <w:rPr>
          <w:rFonts w:ascii="Arial" w:hAnsi="Arial" w:cs="Arial"/>
          <w:bCs/>
          <w:sz w:val="24"/>
          <w:szCs w:val="24"/>
        </w:rPr>
      </w:pPr>
      <w:r w:rsidRPr="00B6273A">
        <w:rPr>
          <w:rFonts w:ascii="Arial" w:hAnsi="Arial" w:cs="Arial"/>
          <w:b/>
          <w:bCs/>
          <w:sz w:val="24"/>
          <w:szCs w:val="24"/>
        </w:rPr>
        <w:t>Punând accentul pe</w:t>
      </w:r>
      <w:r w:rsidRPr="00B6273A">
        <w:rPr>
          <w:rFonts w:ascii="Arial" w:hAnsi="Arial" w:cs="Arial"/>
          <w:bCs/>
          <w:sz w:val="24"/>
          <w:szCs w:val="24"/>
        </w:rPr>
        <w:t xml:space="preserve"> faptul că supravegherea în masă aduce grave atingeri dreptului la confidențialitatea comunicărilor cu avocatul ale persoanelor care solicită să beneficieze de consultanță și reprezentare judiciară</w:t>
      </w:r>
      <w:r w:rsidR="00C4482E">
        <w:rPr>
          <w:rFonts w:ascii="Arial" w:hAnsi="Arial" w:cs="Arial"/>
          <w:bCs/>
          <w:sz w:val="24"/>
          <w:szCs w:val="24"/>
        </w:rPr>
        <w:t xml:space="preserve">, precum și </w:t>
      </w:r>
      <w:r w:rsidRPr="00B6273A">
        <w:rPr>
          <w:rFonts w:ascii="Arial" w:hAnsi="Arial" w:cs="Arial"/>
          <w:bCs/>
          <w:sz w:val="24"/>
          <w:szCs w:val="24"/>
        </w:rPr>
        <w:t>obligați</w:t>
      </w:r>
      <w:r w:rsidR="00051403">
        <w:rPr>
          <w:rFonts w:ascii="Arial" w:hAnsi="Arial" w:cs="Arial"/>
          <w:bCs/>
          <w:sz w:val="24"/>
          <w:szCs w:val="24"/>
        </w:rPr>
        <w:t>ei</w:t>
      </w:r>
      <w:r w:rsidRPr="00B6273A">
        <w:rPr>
          <w:rFonts w:ascii="Arial" w:hAnsi="Arial" w:cs="Arial"/>
          <w:bCs/>
          <w:sz w:val="24"/>
          <w:szCs w:val="24"/>
        </w:rPr>
        <w:t xml:space="preserve"> de a păstra confidențialitatea </w:t>
      </w:r>
      <w:r w:rsidR="00051403">
        <w:rPr>
          <w:rFonts w:ascii="Arial" w:hAnsi="Arial" w:cs="Arial"/>
          <w:bCs/>
          <w:sz w:val="24"/>
          <w:szCs w:val="24"/>
        </w:rPr>
        <w:t>ce incumbă</w:t>
      </w:r>
      <w:r w:rsidRPr="00B6273A">
        <w:rPr>
          <w:rFonts w:ascii="Arial" w:hAnsi="Arial" w:cs="Arial"/>
          <w:bCs/>
          <w:sz w:val="24"/>
          <w:szCs w:val="24"/>
        </w:rPr>
        <w:t xml:space="preserve"> avocaților, atâta timp cât drepturile și obligațiile în materie de secret profesional constituie componente esențiale ale drepturilor fundamentale, mai largi decât dreptul la un proces echitabil</w:t>
      </w:r>
      <w:r w:rsidR="00C4482E">
        <w:rPr>
          <w:rFonts w:ascii="Arial" w:hAnsi="Arial" w:cs="Arial"/>
          <w:bCs/>
          <w:sz w:val="24"/>
          <w:szCs w:val="24"/>
        </w:rPr>
        <w:t xml:space="preserve"> </w:t>
      </w:r>
      <w:r w:rsidRPr="00B6273A">
        <w:rPr>
          <w:rFonts w:ascii="Arial" w:hAnsi="Arial" w:cs="Arial"/>
          <w:bCs/>
          <w:sz w:val="24"/>
          <w:szCs w:val="24"/>
        </w:rPr>
        <w:t>(articolul 6 CEDO), dreptul la respectarea vieții private (articolul 8 CEDO), sau dreptul la libertatea informațiilor și a exprimării (articolul 10 CEDO);</w:t>
      </w:r>
    </w:p>
    <w:p w:rsidR="00CF6863" w:rsidRPr="00B6273A" w:rsidRDefault="00CF6863" w:rsidP="00B6273A">
      <w:pPr>
        <w:widowControl w:val="0"/>
        <w:overflowPunct w:val="0"/>
        <w:autoSpaceDE w:val="0"/>
        <w:autoSpaceDN w:val="0"/>
        <w:adjustRightInd w:val="0"/>
        <w:spacing w:after="0"/>
        <w:ind w:left="3"/>
        <w:jc w:val="both"/>
        <w:rPr>
          <w:rFonts w:ascii="Arial" w:hAnsi="Arial" w:cs="Arial"/>
          <w:b/>
          <w:bCs/>
          <w:sz w:val="24"/>
          <w:szCs w:val="24"/>
        </w:rPr>
      </w:pPr>
    </w:p>
    <w:p w:rsidR="00B01C2F" w:rsidRPr="00B6273A" w:rsidRDefault="00665044" w:rsidP="00B6273A">
      <w:pPr>
        <w:widowControl w:val="0"/>
        <w:overflowPunct w:val="0"/>
        <w:autoSpaceDE w:val="0"/>
        <w:autoSpaceDN w:val="0"/>
        <w:adjustRightInd w:val="0"/>
        <w:spacing w:after="0"/>
        <w:ind w:left="3"/>
        <w:jc w:val="both"/>
        <w:rPr>
          <w:rFonts w:ascii="Arial" w:hAnsi="Arial" w:cs="Arial"/>
          <w:b/>
          <w:bCs/>
          <w:sz w:val="24"/>
          <w:szCs w:val="24"/>
          <w:lang w:val="ro-RO"/>
        </w:rPr>
      </w:pPr>
      <w:r w:rsidRPr="00B6273A">
        <w:rPr>
          <w:rFonts w:ascii="Arial" w:hAnsi="Arial" w:cs="Arial"/>
          <w:b/>
          <w:bCs/>
          <w:sz w:val="24"/>
          <w:szCs w:val="24"/>
        </w:rPr>
        <w:t>R</w:t>
      </w:r>
      <w:r w:rsidR="00152FE4" w:rsidRPr="00B6273A">
        <w:rPr>
          <w:rFonts w:ascii="Arial" w:hAnsi="Arial" w:cs="Arial"/>
          <w:b/>
          <w:bCs/>
          <w:sz w:val="24"/>
          <w:szCs w:val="24"/>
          <w:lang w:val="ro-RO"/>
        </w:rPr>
        <w:t xml:space="preserve">eamintind </w:t>
      </w:r>
      <w:r w:rsidR="00152FE4" w:rsidRPr="00B6273A">
        <w:rPr>
          <w:rFonts w:ascii="Arial" w:hAnsi="Arial" w:cs="Arial"/>
          <w:bCs/>
          <w:sz w:val="24"/>
          <w:szCs w:val="24"/>
          <w:lang w:val="ro-RO"/>
        </w:rPr>
        <w:t>că</w:t>
      </w:r>
      <w:r w:rsidR="00C4482E">
        <w:rPr>
          <w:rFonts w:ascii="Arial" w:hAnsi="Arial" w:cs="Arial"/>
          <w:bCs/>
          <w:sz w:val="24"/>
          <w:szCs w:val="24"/>
          <w:lang w:val="ro-RO"/>
        </w:rPr>
        <w:t xml:space="preserve"> aceste drepturi constituie piloni</w:t>
      </w:r>
      <w:r w:rsidR="00152FE4" w:rsidRPr="00B6273A">
        <w:rPr>
          <w:rFonts w:ascii="Arial" w:hAnsi="Arial" w:cs="Arial"/>
          <w:bCs/>
          <w:sz w:val="24"/>
          <w:szCs w:val="24"/>
          <w:lang w:val="ro-RO"/>
        </w:rPr>
        <w:t xml:space="preserve"> ai democrației și că nerespectarea lor aduce atingere în egală măsură statului de </w:t>
      </w:r>
      <w:r w:rsidR="00CF6863" w:rsidRPr="00B6273A">
        <w:rPr>
          <w:rFonts w:ascii="Arial" w:hAnsi="Arial" w:cs="Arial"/>
          <w:bCs/>
          <w:sz w:val="24"/>
          <w:szCs w:val="24"/>
          <w:lang w:val="ro-RO"/>
        </w:rPr>
        <w:t>drept</w:t>
      </w:r>
      <w:r w:rsidR="00CF6863" w:rsidRPr="00B6273A">
        <w:rPr>
          <w:rFonts w:ascii="Arial" w:hAnsi="Arial" w:cs="Arial"/>
          <w:b/>
          <w:bCs/>
          <w:sz w:val="24"/>
          <w:szCs w:val="24"/>
          <w:lang w:val="ro-RO"/>
        </w:rPr>
        <w:t>;</w:t>
      </w:r>
    </w:p>
    <w:p w:rsidR="007565F9" w:rsidRPr="00B6273A" w:rsidRDefault="007565F9" w:rsidP="00B6273A">
      <w:pPr>
        <w:widowControl w:val="0"/>
        <w:overflowPunct w:val="0"/>
        <w:autoSpaceDE w:val="0"/>
        <w:autoSpaceDN w:val="0"/>
        <w:adjustRightInd w:val="0"/>
        <w:spacing w:after="0"/>
        <w:ind w:left="3"/>
        <w:jc w:val="both"/>
        <w:rPr>
          <w:rFonts w:ascii="Times New Roman" w:hAnsi="Times New Roman" w:cs="Times New Roman"/>
          <w:sz w:val="24"/>
          <w:szCs w:val="24"/>
        </w:rPr>
      </w:pPr>
    </w:p>
    <w:p w:rsidR="00B01C2F" w:rsidRPr="00B6273A" w:rsidRDefault="00665044" w:rsidP="00B6273A">
      <w:pPr>
        <w:widowControl w:val="0"/>
        <w:overflowPunct w:val="0"/>
        <w:autoSpaceDE w:val="0"/>
        <w:autoSpaceDN w:val="0"/>
        <w:adjustRightInd w:val="0"/>
        <w:spacing w:after="0"/>
        <w:ind w:left="3"/>
        <w:jc w:val="both"/>
        <w:rPr>
          <w:rFonts w:ascii="Arial" w:hAnsi="Arial" w:cs="Arial"/>
          <w:sz w:val="24"/>
          <w:szCs w:val="24"/>
        </w:rPr>
      </w:pPr>
      <w:r w:rsidRPr="00B6273A">
        <w:rPr>
          <w:rFonts w:ascii="Arial" w:hAnsi="Arial" w:cs="Arial"/>
          <w:b/>
          <w:bCs/>
          <w:sz w:val="24"/>
          <w:szCs w:val="24"/>
        </w:rPr>
        <w:t>S</w:t>
      </w:r>
      <w:r w:rsidR="00152FE4" w:rsidRPr="00B6273A">
        <w:rPr>
          <w:rFonts w:ascii="Arial" w:hAnsi="Arial" w:cs="Arial"/>
          <w:b/>
          <w:bCs/>
          <w:sz w:val="24"/>
          <w:szCs w:val="24"/>
        </w:rPr>
        <w:t xml:space="preserve">ubliniind </w:t>
      </w:r>
      <w:r w:rsidR="00152FE4" w:rsidRPr="00B6273A">
        <w:rPr>
          <w:rFonts w:ascii="Arial" w:hAnsi="Arial" w:cs="Arial"/>
          <w:bCs/>
          <w:sz w:val="24"/>
          <w:szCs w:val="24"/>
        </w:rPr>
        <w:t xml:space="preserve">că </w:t>
      </w:r>
      <w:r w:rsidRPr="00B6273A">
        <w:rPr>
          <w:rFonts w:ascii="Arial" w:hAnsi="Arial" w:cs="Arial"/>
          <w:sz w:val="24"/>
          <w:szCs w:val="24"/>
        </w:rPr>
        <w:t>activit</w:t>
      </w:r>
      <w:r w:rsidR="00152FE4" w:rsidRPr="00B6273A">
        <w:rPr>
          <w:rFonts w:ascii="Arial" w:hAnsi="Arial" w:cs="Arial"/>
          <w:sz w:val="24"/>
          <w:szCs w:val="24"/>
        </w:rPr>
        <w:t xml:space="preserve">ățile de supraveghere țintite ale guvernelor trebuie reglementate de manieră riguroasă și controlate de autorități judiciare independente și că </w:t>
      </w:r>
      <w:r w:rsidRPr="00B6273A">
        <w:rPr>
          <w:rFonts w:ascii="Arial" w:hAnsi="Arial" w:cs="Arial"/>
          <w:sz w:val="24"/>
          <w:szCs w:val="24"/>
        </w:rPr>
        <w:t>princip</w:t>
      </w:r>
      <w:r w:rsidR="00152FE4" w:rsidRPr="00B6273A">
        <w:rPr>
          <w:rFonts w:ascii="Arial" w:hAnsi="Arial" w:cs="Arial"/>
          <w:sz w:val="24"/>
          <w:szCs w:val="24"/>
        </w:rPr>
        <w:t>iile de legalitate, necesitate și proporționalitate</w:t>
      </w:r>
      <w:r w:rsidRPr="00B6273A">
        <w:rPr>
          <w:rFonts w:ascii="Arial" w:hAnsi="Arial" w:cs="Arial"/>
          <w:sz w:val="24"/>
          <w:szCs w:val="24"/>
        </w:rPr>
        <w:t xml:space="preserve"> </w:t>
      </w:r>
      <w:r w:rsidR="00152FE4" w:rsidRPr="00B6273A">
        <w:rPr>
          <w:rFonts w:ascii="Arial" w:hAnsi="Arial" w:cs="Arial"/>
          <w:sz w:val="24"/>
          <w:szCs w:val="24"/>
        </w:rPr>
        <w:t xml:space="preserve">trebuie </w:t>
      </w:r>
      <w:r w:rsidR="002246A6" w:rsidRPr="00B6273A">
        <w:rPr>
          <w:rFonts w:ascii="Arial" w:hAnsi="Arial" w:cs="Arial"/>
          <w:sz w:val="24"/>
          <w:szCs w:val="24"/>
        </w:rPr>
        <w:t>satisfăcute</w:t>
      </w:r>
      <w:r w:rsidR="008929D9" w:rsidRPr="00B6273A">
        <w:rPr>
          <w:rStyle w:val="Referinnotdesubsol"/>
          <w:rFonts w:ascii="Arial" w:hAnsi="Arial" w:cs="Arial"/>
          <w:sz w:val="24"/>
          <w:szCs w:val="24"/>
        </w:rPr>
        <w:footnoteReference w:id="3"/>
      </w:r>
      <w:r w:rsidR="002246A6" w:rsidRPr="00B6273A">
        <w:rPr>
          <w:rFonts w:ascii="Arial" w:hAnsi="Arial" w:cs="Arial"/>
          <w:sz w:val="24"/>
          <w:szCs w:val="24"/>
        </w:rPr>
        <w:t>;</w:t>
      </w:r>
    </w:p>
    <w:p w:rsidR="00B01C2F" w:rsidRPr="00B6273A" w:rsidRDefault="00B01C2F" w:rsidP="00B6273A">
      <w:pPr>
        <w:widowControl w:val="0"/>
        <w:autoSpaceDE w:val="0"/>
        <w:autoSpaceDN w:val="0"/>
        <w:adjustRightInd w:val="0"/>
        <w:spacing w:after="0"/>
        <w:rPr>
          <w:rFonts w:ascii="Times New Roman" w:hAnsi="Times New Roman" w:cs="Times New Roman"/>
          <w:sz w:val="24"/>
          <w:szCs w:val="24"/>
        </w:rPr>
      </w:pPr>
    </w:p>
    <w:p w:rsidR="00B01C2F" w:rsidRPr="00B6273A" w:rsidRDefault="007565F9" w:rsidP="00B6273A">
      <w:pPr>
        <w:widowControl w:val="0"/>
        <w:overflowPunct w:val="0"/>
        <w:autoSpaceDE w:val="0"/>
        <w:autoSpaceDN w:val="0"/>
        <w:adjustRightInd w:val="0"/>
        <w:spacing w:after="0"/>
        <w:ind w:left="3"/>
        <w:jc w:val="both"/>
        <w:rPr>
          <w:rFonts w:ascii="Arial" w:hAnsi="Arial" w:cs="Arial"/>
          <w:sz w:val="24"/>
          <w:szCs w:val="24"/>
        </w:rPr>
      </w:pPr>
      <w:r w:rsidRPr="00B6273A">
        <w:rPr>
          <w:rFonts w:ascii="Arial" w:hAnsi="Arial" w:cs="Arial"/>
          <w:b/>
          <w:bCs/>
          <w:sz w:val="24"/>
          <w:szCs w:val="24"/>
        </w:rPr>
        <w:t xml:space="preserve">Considerând </w:t>
      </w:r>
      <w:r w:rsidRPr="00B6273A">
        <w:rPr>
          <w:rFonts w:ascii="Arial" w:hAnsi="Arial" w:cs="Arial"/>
          <w:sz w:val="24"/>
          <w:szCs w:val="24"/>
        </w:rPr>
        <w:t>confidențialitatea</w:t>
      </w:r>
      <w:r w:rsidR="00F81830" w:rsidRPr="00B6273A">
        <w:rPr>
          <w:rFonts w:ascii="Arial" w:hAnsi="Arial" w:cs="Arial"/>
          <w:sz w:val="24"/>
          <w:szCs w:val="24"/>
        </w:rPr>
        <w:t xml:space="preserve"> comunicărilor dintre avocat și client</w:t>
      </w:r>
      <w:r w:rsidR="00F81830" w:rsidRPr="00B6273A">
        <w:rPr>
          <w:rStyle w:val="Referinnotdesubsol"/>
          <w:rFonts w:ascii="Arial" w:hAnsi="Arial" w:cs="Arial"/>
          <w:sz w:val="24"/>
          <w:szCs w:val="24"/>
        </w:rPr>
        <w:footnoteReference w:id="4"/>
      </w:r>
      <w:r w:rsidR="00152FE4" w:rsidRPr="00B6273A">
        <w:rPr>
          <w:rFonts w:ascii="Arial" w:hAnsi="Arial" w:cs="Arial"/>
          <w:sz w:val="24"/>
          <w:szCs w:val="24"/>
        </w:rPr>
        <w:t xml:space="preserve"> nu doar ca o datorie a avocatului, ci ca un drept fundamental al clientului și că nu poate exista încredere, element esențial </w:t>
      </w:r>
      <w:r w:rsidR="000A2CE5">
        <w:rPr>
          <w:rFonts w:ascii="Arial" w:hAnsi="Arial" w:cs="Arial"/>
          <w:sz w:val="24"/>
          <w:szCs w:val="24"/>
        </w:rPr>
        <w:t>al bunei funcționări a adminstr</w:t>
      </w:r>
      <w:r w:rsidR="00152FE4" w:rsidRPr="00B6273A">
        <w:rPr>
          <w:rFonts w:ascii="Arial" w:hAnsi="Arial" w:cs="Arial"/>
          <w:sz w:val="24"/>
          <w:szCs w:val="24"/>
        </w:rPr>
        <w:t>ării justiției și a statului de drept</w:t>
      </w:r>
      <w:r w:rsidR="00665044" w:rsidRPr="00B6273A">
        <w:rPr>
          <w:rFonts w:ascii="Arial" w:hAnsi="Arial" w:cs="Arial"/>
          <w:sz w:val="24"/>
          <w:szCs w:val="24"/>
        </w:rPr>
        <w:t>;</w:t>
      </w:r>
    </w:p>
    <w:p w:rsidR="00B01C2F" w:rsidRPr="00B6273A" w:rsidRDefault="00B01C2F" w:rsidP="00B6273A">
      <w:pPr>
        <w:widowControl w:val="0"/>
        <w:autoSpaceDE w:val="0"/>
        <w:autoSpaceDN w:val="0"/>
        <w:adjustRightInd w:val="0"/>
        <w:spacing w:after="0"/>
        <w:rPr>
          <w:rFonts w:ascii="Times New Roman" w:hAnsi="Times New Roman" w:cs="Times New Roman"/>
          <w:sz w:val="24"/>
          <w:szCs w:val="24"/>
        </w:rPr>
      </w:pPr>
    </w:p>
    <w:p w:rsidR="00B01C2F" w:rsidRPr="00B6273A" w:rsidRDefault="00681094" w:rsidP="00B6273A">
      <w:pPr>
        <w:widowControl w:val="0"/>
        <w:overflowPunct w:val="0"/>
        <w:autoSpaceDE w:val="0"/>
        <w:autoSpaceDN w:val="0"/>
        <w:adjustRightInd w:val="0"/>
        <w:spacing w:after="0"/>
        <w:ind w:left="3"/>
        <w:jc w:val="both"/>
        <w:rPr>
          <w:rFonts w:ascii="Arial" w:hAnsi="Arial" w:cs="Arial"/>
          <w:sz w:val="24"/>
          <w:szCs w:val="24"/>
        </w:rPr>
      </w:pPr>
      <w:r w:rsidRPr="00B6273A">
        <w:rPr>
          <w:rFonts w:ascii="Arial" w:hAnsi="Arial" w:cs="Arial"/>
          <w:b/>
          <w:bCs/>
          <w:sz w:val="24"/>
          <w:szCs w:val="24"/>
        </w:rPr>
        <w:t xml:space="preserve">Punând </w:t>
      </w:r>
      <w:r w:rsidRPr="00B6273A">
        <w:rPr>
          <w:rFonts w:ascii="Arial" w:hAnsi="Arial" w:cs="Arial"/>
          <w:bCs/>
          <w:sz w:val="24"/>
          <w:szCs w:val="24"/>
        </w:rPr>
        <w:t>accentul pe</w:t>
      </w:r>
      <w:r w:rsidRPr="00B6273A">
        <w:rPr>
          <w:rFonts w:ascii="Arial" w:hAnsi="Arial" w:cs="Arial"/>
          <w:b/>
          <w:bCs/>
          <w:sz w:val="24"/>
          <w:szCs w:val="24"/>
        </w:rPr>
        <w:t xml:space="preserve"> </w:t>
      </w:r>
      <w:r w:rsidRPr="00B6273A">
        <w:rPr>
          <w:rFonts w:ascii="Arial" w:hAnsi="Arial" w:cs="Arial"/>
          <w:bCs/>
          <w:sz w:val="24"/>
          <w:szCs w:val="24"/>
        </w:rPr>
        <w:t xml:space="preserve">faptul că obligația de confidențialitate a avocatului </w:t>
      </w:r>
      <w:r w:rsidR="00665044" w:rsidRPr="00B6273A">
        <w:rPr>
          <w:rFonts w:ascii="Arial" w:hAnsi="Arial" w:cs="Arial"/>
          <w:sz w:val="24"/>
          <w:szCs w:val="24"/>
        </w:rPr>
        <w:t>ser</w:t>
      </w:r>
      <w:r w:rsidRPr="00B6273A">
        <w:rPr>
          <w:rFonts w:ascii="Arial" w:hAnsi="Arial" w:cs="Arial"/>
          <w:sz w:val="24"/>
          <w:szCs w:val="24"/>
        </w:rPr>
        <w:t xml:space="preserve">vește interesele administrării justiției, dar și pe cele ale clientului </w:t>
      </w:r>
      <w:r w:rsidR="00321C49" w:rsidRPr="00B6273A">
        <w:rPr>
          <w:rFonts w:ascii="Arial" w:hAnsi="Arial" w:cs="Arial"/>
          <w:sz w:val="24"/>
          <w:szCs w:val="24"/>
        </w:rPr>
        <w:t>și c</w:t>
      </w:r>
      <w:r w:rsidR="000A2CE5">
        <w:rPr>
          <w:rFonts w:ascii="Arial" w:hAnsi="Arial" w:cs="Arial"/>
          <w:sz w:val="24"/>
          <w:szCs w:val="24"/>
        </w:rPr>
        <w:t>ă</w:t>
      </w:r>
      <w:r w:rsidR="00321C49" w:rsidRPr="00B6273A">
        <w:rPr>
          <w:rFonts w:ascii="Arial" w:hAnsi="Arial" w:cs="Arial"/>
          <w:sz w:val="24"/>
          <w:szCs w:val="24"/>
        </w:rPr>
        <w:t xml:space="preserve"> ea trebuie, pe cale de consecință s</w:t>
      </w:r>
      <w:r w:rsidR="000A2CE5">
        <w:rPr>
          <w:rFonts w:ascii="Arial" w:hAnsi="Arial" w:cs="Arial"/>
          <w:sz w:val="24"/>
          <w:szCs w:val="24"/>
        </w:rPr>
        <w:t>ă</w:t>
      </w:r>
      <w:r w:rsidR="00321C49" w:rsidRPr="00B6273A">
        <w:rPr>
          <w:rFonts w:ascii="Arial" w:hAnsi="Arial" w:cs="Arial"/>
          <w:sz w:val="24"/>
          <w:szCs w:val="24"/>
        </w:rPr>
        <w:t xml:space="preserve"> beneficieze de o protecție specială din partea Statului</w:t>
      </w:r>
      <w:r w:rsidR="00665044" w:rsidRPr="00B6273A">
        <w:rPr>
          <w:rFonts w:ascii="Arial" w:hAnsi="Arial" w:cs="Arial"/>
          <w:sz w:val="24"/>
          <w:szCs w:val="24"/>
        </w:rPr>
        <w:t>;</w:t>
      </w:r>
    </w:p>
    <w:p w:rsidR="00B01C2F" w:rsidRPr="00B6273A" w:rsidRDefault="00B01C2F" w:rsidP="00B6273A">
      <w:pPr>
        <w:widowControl w:val="0"/>
        <w:autoSpaceDE w:val="0"/>
        <w:autoSpaceDN w:val="0"/>
        <w:adjustRightInd w:val="0"/>
        <w:spacing w:after="0"/>
        <w:rPr>
          <w:rFonts w:ascii="Times New Roman" w:hAnsi="Times New Roman" w:cs="Times New Roman"/>
          <w:sz w:val="24"/>
          <w:szCs w:val="24"/>
        </w:rPr>
      </w:pPr>
    </w:p>
    <w:p w:rsidR="00B01C2F" w:rsidRDefault="00665044" w:rsidP="00B6273A">
      <w:pPr>
        <w:widowControl w:val="0"/>
        <w:overflowPunct w:val="0"/>
        <w:autoSpaceDE w:val="0"/>
        <w:autoSpaceDN w:val="0"/>
        <w:adjustRightInd w:val="0"/>
        <w:spacing w:after="0"/>
        <w:ind w:left="3"/>
        <w:jc w:val="both"/>
        <w:rPr>
          <w:rFonts w:ascii="Arial" w:hAnsi="Arial" w:cs="Arial"/>
          <w:sz w:val="24"/>
          <w:szCs w:val="24"/>
        </w:rPr>
      </w:pPr>
      <w:r w:rsidRPr="00B6273A">
        <w:rPr>
          <w:rFonts w:ascii="Arial" w:hAnsi="Arial" w:cs="Arial"/>
          <w:b/>
          <w:bCs/>
          <w:sz w:val="24"/>
          <w:szCs w:val="24"/>
        </w:rPr>
        <w:t>Su</w:t>
      </w:r>
      <w:r w:rsidR="00321C49" w:rsidRPr="00B6273A">
        <w:rPr>
          <w:rFonts w:ascii="Arial" w:hAnsi="Arial" w:cs="Arial"/>
          <w:b/>
          <w:bCs/>
          <w:sz w:val="24"/>
          <w:szCs w:val="24"/>
        </w:rPr>
        <w:t>b</w:t>
      </w:r>
      <w:r w:rsidRPr="00B6273A">
        <w:rPr>
          <w:rFonts w:ascii="Arial" w:hAnsi="Arial" w:cs="Arial"/>
          <w:b/>
          <w:bCs/>
          <w:sz w:val="24"/>
          <w:szCs w:val="24"/>
        </w:rPr>
        <w:t>li</w:t>
      </w:r>
      <w:r w:rsidR="00321C49" w:rsidRPr="00B6273A">
        <w:rPr>
          <w:rFonts w:ascii="Arial" w:hAnsi="Arial" w:cs="Arial"/>
          <w:b/>
          <w:bCs/>
          <w:sz w:val="24"/>
          <w:szCs w:val="24"/>
        </w:rPr>
        <w:t xml:space="preserve">niind </w:t>
      </w:r>
      <w:r w:rsidR="00321C49" w:rsidRPr="00B6273A">
        <w:rPr>
          <w:rFonts w:ascii="Arial" w:hAnsi="Arial" w:cs="Arial"/>
          <w:bCs/>
          <w:sz w:val="24"/>
          <w:szCs w:val="24"/>
        </w:rPr>
        <w:t xml:space="preserve">protejarea confidențialității comunicărilor avocat-client, în virtutea Convenției </w:t>
      </w:r>
      <w:r w:rsidR="007D3011">
        <w:rPr>
          <w:rFonts w:ascii="Arial" w:hAnsi="Arial" w:cs="Arial"/>
          <w:bCs/>
          <w:sz w:val="24"/>
          <w:szCs w:val="24"/>
        </w:rPr>
        <w:t>E</w:t>
      </w:r>
      <w:r w:rsidR="00321C49" w:rsidRPr="00B6273A">
        <w:rPr>
          <w:rFonts w:ascii="Arial" w:hAnsi="Arial" w:cs="Arial"/>
          <w:bCs/>
          <w:sz w:val="24"/>
          <w:szCs w:val="24"/>
        </w:rPr>
        <w:t xml:space="preserve">uropene a </w:t>
      </w:r>
      <w:r w:rsidR="007D3011">
        <w:rPr>
          <w:rFonts w:ascii="Arial" w:hAnsi="Arial" w:cs="Arial"/>
          <w:bCs/>
          <w:sz w:val="24"/>
          <w:szCs w:val="24"/>
        </w:rPr>
        <w:t>D</w:t>
      </w:r>
      <w:r w:rsidR="00321C49" w:rsidRPr="00B6273A">
        <w:rPr>
          <w:rFonts w:ascii="Arial" w:hAnsi="Arial" w:cs="Arial"/>
          <w:bCs/>
          <w:sz w:val="24"/>
          <w:szCs w:val="24"/>
        </w:rPr>
        <w:t xml:space="preserve">repturilor </w:t>
      </w:r>
      <w:r w:rsidR="007D3011">
        <w:rPr>
          <w:rFonts w:ascii="Arial" w:hAnsi="Arial" w:cs="Arial"/>
          <w:bCs/>
          <w:sz w:val="24"/>
          <w:szCs w:val="24"/>
        </w:rPr>
        <w:t>O</w:t>
      </w:r>
      <w:r w:rsidR="00321C49" w:rsidRPr="00B6273A">
        <w:rPr>
          <w:rFonts w:ascii="Arial" w:hAnsi="Arial" w:cs="Arial"/>
          <w:bCs/>
          <w:sz w:val="24"/>
          <w:szCs w:val="24"/>
        </w:rPr>
        <w:t xml:space="preserve">mului și a dreptului Uniunii </w:t>
      </w:r>
      <w:r w:rsidR="007D3011">
        <w:rPr>
          <w:rFonts w:ascii="Arial" w:hAnsi="Arial" w:cs="Arial"/>
          <w:bCs/>
          <w:sz w:val="24"/>
          <w:szCs w:val="24"/>
        </w:rPr>
        <w:t>E</w:t>
      </w:r>
      <w:r w:rsidR="00321C49" w:rsidRPr="00B6273A">
        <w:rPr>
          <w:rFonts w:ascii="Arial" w:hAnsi="Arial" w:cs="Arial"/>
          <w:bCs/>
          <w:sz w:val="24"/>
          <w:szCs w:val="24"/>
        </w:rPr>
        <w:t xml:space="preserve">uropene și că ea capătă o mare importanță în </w:t>
      </w:r>
      <w:r w:rsidR="000A2CE5">
        <w:rPr>
          <w:rFonts w:ascii="Arial" w:hAnsi="Arial" w:cs="Arial"/>
          <w:bCs/>
          <w:sz w:val="24"/>
          <w:szCs w:val="24"/>
        </w:rPr>
        <w:t>viziunea</w:t>
      </w:r>
      <w:r w:rsidR="00321C49" w:rsidRPr="00B6273A">
        <w:rPr>
          <w:rFonts w:ascii="Arial" w:hAnsi="Arial" w:cs="Arial"/>
          <w:bCs/>
          <w:sz w:val="24"/>
          <w:szCs w:val="24"/>
        </w:rPr>
        <w:t xml:space="preserve"> Curții </w:t>
      </w:r>
      <w:r w:rsidR="007D3011">
        <w:rPr>
          <w:rFonts w:ascii="Arial" w:hAnsi="Arial" w:cs="Arial"/>
          <w:bCs/>
          <w:sz w:val="24"/>
          <w:szCs w:val="24"/>
        </w:rPr>
        <w:t>E</w:t>
      </w:r>
      <w:r w:rsidR="00321C49" w:rsidRPr="00B6273A">
        <w:rPr>
          <w:rFonts w:ascii="Arial" w:hAnsi="Arial" w:cs="Arial"/>
          <w:bCs/>
          <w:sz w:val="24"/>
          <w:szCs w:val="24"/>
        </w:rPr>
        <w:t xml:space="preserve">uropene a </w:t>
      </w:r>
      <w:r w:rsidR="007D3011">
        <w:rPr>
          <w:rFonts w:ascii="Arial" w:hAnsi="Arial" w:cs="Arial"/>
          <w:bCs/>
          <w:sz w:val="24"/>
          <w:szCs w:val="24"/>
        </w:rPr>
        <w:t>D</w:t>
      </w:r>
      <w:r w:rsidR="00321C49" w:rsidRPr="00B6273A">
        <w:rPr>
          <w:rFonts w:ascii="Arial" w:hAnsi="Arial" w:cs="Arial"/>
          <w:bCs/>
          <w:sz w:val="24"/>
          <w:szCs w:val="24"/>
        </w:rPr>
        <w:t xml:space="preserve">repturilor </w:t>
      </w:r>
      <w:r w:rsidR="007D3011">
        <w:rPr>
          <w:rFonts w:ascii="Arial" w:hAnsi="Arial" w:cs="Arial"/>
          <w:bCs/>
          <w:sz w:val="24"/>
          <w:szCs w:val="24"/>
        </w:rPr>
        <w:t>O</w:t>
      </w:r>
      <w:r w:rsidR="00321C49" w:rsidRPr="00B6273A">
        <w:rPr>
          <w:rFonts w:ascii="Arial" w:hAnsi="Arial" w:cs="Arial"/>
          <w:bCs/>
          <w:sz w:val="24"/>
          <w:szCs w:val="24"/>
        </w:rPr>
        <w:t>mului</w:t>
      </w:r>
      <w:r w:rsidR="007D3011">
        <w:rPr>
          <w:rStyle w:val="Referinnotdesubsol"/>
          <w:rFonts w:ascii="Arial" w:hAnsi="Arial" w:cs="Arial"/>
          <w:bCs/>
          <w:sz w:val="24"/>
          <w:szCs w:val="24"/>
        </w:rPr>
        <w:footnoteReference w:id="5"/>
      </w:r>
      <w:r w:rsidR="00321C49" w:rsidRPr="00B6273A">
        <w:rPr>
          <w:rFonts w:ascii="Arial" w:hAnsi="Arial" w:cs="Arial"/>
          <w:bCs/>
          <w:sz w:val="24"/>
          <w:szCs w:val="24"/>
        </w:rPr>
        <w:t>, a Cu</w:t>
      </w:r>
      <w:r w:rsidR="00545F39" w:rsidRPr="00B6273A">
        <w:rPr>
          <w:rFonts w:ascii="Arial" w:hAnsi="Arial" w:cs="Arial"/>
          <w:bCs/>
          <w:sz w:val="24"/>
          <w:szCs w:val="24"/>
        </w:rPr>
        <w:t xml:space="preserve">rții de Justiție a Uniunii </w:t>
      </w:r>
      <w:r w:rsidR="00545F39" w:rsidRPr="00B6273A">
        <w:rPr>
          <w:rFonts w:ascii="Arial" w:hAnsi="Arial" w:cs="Arial"/>
          <w:bCs/>
          <w:sz w:val="24"/>
          <w:szCs w:val="24"/>
        </w:rPr>
        <w:lastRenderedPageBreak/>
        <w:t>Europene</w:t>
      </w:r>
      <w:r w:rsidR="007D3011">
        <w:rPr>
          <w:rStyle w:val="Referinnotdesubsol"/>
          <w:rFonts w:ascii="Arial" w:hAnsi="Arial" w:cs="Arial"/>
          <w:bCs/>
          <w:sz w:val="24"/>
          <w:szCs w:val="24"/>
        </w:rPr>
        <w:footnoteReference w:id="6"/>
      </w:r>
      <w:r w:rsidR="000A2CE5">
        <w:rPr>
          <w:rFonts w:ascii="Arial" w:hAnsi="Arial" w:cs="Arial"/>
          <w:bCs/>
          <w:sz w:val="24"/>
          <w:szCs w:val="24"/>
        </w:rPr>
        <w:t xml:space="preserve"> și a</w:t>
      </w:r>
      <w:r w:rsidR="00545F39" w:rsidRPr="00B6273A">
        <w:rPr>
          <w:rFonts w:ascii="Arial" w:hAnsi="Arial" w:cs="Arial"/>
          <w:bCs/>
          <w:sz w:val="24"/>
          <w:szCs w:val="24"/>
        </w:rPr>
        <w:t xml:space="preserve"> altor organisme europene </w:t>
      </w:r>
      <w:r w:rsidR="006B6298" w:rsidRPr="00B6273A">
        <w:rPr>
          <w:rFonts w:ascii="Arial" w:hAnsi="Arial" w:cs="Arial"/>
          <w:bCs/>
          <w:sz w:val="24"/>
          <w:szCs w:val="24"/>
        </w:rPr>
        <w:t>implicate</w:t>
      </w:r>
      <w:r w:rsidRPr="00B6273A">
        <w:rPr>
          <w:rFonts w:ascii="Arial" w:hAnsi="Arial" w:cs="Arial"/>
          <w:sz w:val="24"/>
          <w:szCs w:val="24"/>
        </w:rPr>
        <w:t>;</w:t>
      </w:r>
    </w:p>
    <w:p w:rsidR="007D3011" w:rsidRPr="00B6273A" w:rsidRDefault="007D3011" w:rsidP="00B6273A">
      <w:pPr>
        <w:widowControl w:val="0"/>
        <w:overflowPunct w:val="0"/>
        <w:autoSpaceDE w:val="0"/>
        <w:autoSpaceDN w:val="0"/>
        <w:adjustRightInd w:val="0"/>
        <w:spacing w:after="0"/>
        <w:ind w:left="3"/>
        <w:jc w:val="both"/>
        <w:rPr>
          <w:rFonts w:ascii="Times New Roman" w:hAnsi="Times New Roman" w:cs="Times New Roman"/>
          <w:sz w:val="24"/>
          <w:szCs w:val="24"/>
        </w:rPr>
      </w:pPr>
    </w:p>
    <w:p w:rsidR="001043C2" w:rsidRDefault="00B6273A" w:rsidP="00B6273A">
      <w:pPr>
        <w:widowControl w:val="0"/>
        <w:autoSpaceDE w:val="0"/>
        <w:autoSpaceDN w:val="0"/>
        <w:adjustRightInd w:val="0"/>
        <w:spacing w:after="0"/>
        <w:jc w:val="both"/>
        <w:rPr>
          <w:rFonts w:ascii="Arial" w:hAnsi="Arial" w:cs="Arial"/>
          <w:sz w:val="24"/>
          <w:szCs w:val="24"/>
        </w:rPr>
      </w:pPr>
      <w:r w:rsidRPr="007D3011">
        <w:rPr>
          <w:rFonts w:ascii="Arial" w:hAnsi="Arial" w:cs="Arial"/>
          <w:b/>
          <w:sz w:val="24"/>
          <w:szCs w:val="24"/>
        </w:rPr>
        <w:t>Referindu-se</w:t>
      </w:r>
      <w:r w:rsidRPr="00B6273A">
        <w:rPr>
          <w:rFonts w:ascii="Arial" w:hAnsi="Arial" w:cs="Arial"/>
          <w:sz w:val="24"/>
          <w:szCs w:val="24"/>
        </w:rPr>
        <w:t>, în special, la cazul Michaud</w:t>
      </w:r>
      <w:r w:rsidR="007D3011">
        <w:rPr>
          <w:rStyle w:val="Referinnotdesubsol"/>
          <w:rFonts w:ascii="Arial" w:hAnsi="Arial" w:cs="Arial"/>
          <w:sz w:val="24"/>
          <w:szCs w:val="24"/>
        </w:rPr>
        <w:footnoteReference w:id="7"/>
      </w:r>
      <w:r w:rsidRPr="00B6273A">
        <w:rPr>
          <w:rFonts w:ascii="Arial" w:hAnsi="Arial" w:cs="Arial"/>
          <w:sz w:val="24"/>
          <w:szCs w:val="24"/>
        </w:rPr>
        <w:t>, care prevede că "în timp ce articolul 8 [din CEDO] protejează confidențialitatea întregii "corespondențe" între indivizi, aceasta permite asigurarea unei protecții superioare (consolidate) pentru corespondența între avocaţi și clienţii lor. Aceasta se justifică prin faptul că avocaților li se atribuie un rol fundamental de apărare a intereselor justițiabililor. într-o societate democratică, [...]. Ca o consecință indirectă, dar fără nici un fel de echivoc, rezultă dreptul fiecărei persoane la un proces echitabil, inclusiv dreptul persoanelor acuzate de a nu se autoincrimina."</w:t>
      </w:r>
    </w:p>
    <w:p w:rsidR="009C599F" w:rsidRPr="00B6273A" w:rsidRDefault="009C599F" w:rsidP="00B6273A">
      <w:pPr>
        <w:widowControl w:val="0"/>
        <w:autoSpaceDE w:val="0"/>
        <w:autoSpaceDN w:val="0"/>
        <w:adjustRightInd w:val="0"/>
        <w:spacing w:after="0"/>
        <w:jc w:val="both"/>
        <w:rPr>
          <w:rFonts w:ascii="Arial" w:hAnsi="Arial" w:cs="Arial"/>
          <w:sz w:val="24"/>
          <w:szCs w:val="24"/>
        </w:rPr>
      </w:pPr>
    </w:p>
    <w:p w:rsidR="001043C2" w:rsidRPr="00B6273A" w:rsidRDefault="001043C2" w:rsidP="00B6273A">
      <w:pPr>
        <w:jc w:val="both"/>
        <w:rPr>
          <w:rFonts w:ascii="Arial" w:hAnsi="Arial" w:cs="Arial"/>
          <w:sz w:val="24"/>
          <w:szCs w:val="24"/>
        </w:rPr>
      </w:pPr>
      <w:r w:rsidRPr="00B6273A">
        <w:rPr>
          <w:rFonts w:ascii="Arial" w:hAnsi="Arial" w:cs="Arial"/>
          <w:b/>
          <w:sz w:val="24"/>
          <w:szCs w:val="24"/>
        </w:rPr>
        <w:t>Reamintind</w:t>
      </w:r>
      <w:r w:rsidRPr="00B6273A">
        <w:rPr>
          <w:rFonts w:ascii="Arial" w:hAnsi="Arial" w:cs="Arial"/>
          <w:sz w:val="24"/>
          <w:szCs w:val="24"/>
        </w:rPr>
        <w:t xml:space="preserve"> că Recomandarea Consiliului Europei adoptată la 25 octombrie 2000</w:t>
      </w:r>
      <w:r w:rsidR="007D3011">
        <w:rPr>
          <w:rStyle w:val="Referinnotdesubsol"/>
          <w:rFonts w:ascii="Arial" w:hAnsi="Arial" w:cs="Arial"/>
          <w:sz w:val="24"/>
          <w:szCs w:val="24"/>
        </w:rPr>
        <w:footnoteReference w:id="8"/>
      </w:r>
      <w:r w:rsidRPr="00B6273A">
        <w:rPr>
          <w:rFonts w:ascii="Arial" w:hAnsi="Arial" w:cs="Arial"/>
          <w:sz w:val="24"/>
          <w:szCs w:val="24"/>
        </w:rPr>
        <w:t xml:space="preserve"> prevede că "ar trebui să fie luate toate măsurile pentru a se asigura respectarea confidenţialităţii relaţiei avocat-client", şi că "excepţiile de la acest principiu ar trebui să fie permise numai în cazul în care sunt compatibile cu statul de drept."</w:t>
      </w:r>
    </w:p>
    <w:p w:rsidR="001043C2" w:rsidRPr="00B6273A" w:rsidRDefault="001043C2" w:rsidP="00B6273A">
      <w:pPr>
        <w:jc w:val="both"/>
        <w:rPr>
          <w:rFonts w:ascii="Arial" w:hAnsi="Arial" w:cs="Arial"/>
          <w:sz w:val="24"/>
          <w:szCs w:val="24"/>
        </w:rPr>
      </w:pPr>
      <w:r w:rsidRPr="00B6273A">
        <w:rPr>
          <w:rFonts w:ascii="Arial" w:hAnsi="Arial" w:cs="Arial"/>
          <w:b/>
          <w:sz w:val="24"/>
          <w:szCs w:val="24"/>
        </w:rPr>
        <w:lastRenderedPageBreak/>
        <w:t xml:space="preserve">Reamintind </w:t>
      </w:r>
      <w:r w:rsidRPr="00B6273A">
        <w:rPr>
          <w:rFonts w:ascii="Arial" w:hAnsi="Arial" w:cs="Arial"/>
          <w:sz w:val="24"/>
          <w:szCs w:val="24"/>
        </w:rPr>
        <w:t>că Rezoluţia 2045 din 21 aprilie 2015</w:t>
      </w:r>
      <w:r w:rsidR="0087110B">
        <w:rPr>
          <w:rStyle w:val="Referinnotdesubsol"/>
          <w:rFonts w:ascii="Arial" w:hAnsi="Arial" w:cs="Arial"/>
          <w:sz w:val="24"/>
          <w:szCs w:val="24"/>
        </w:rPr>
        <w:footnoteReference w:id="9"/>
      </w:r>
      <w:r w:rsidRPr="00B6273A">
        <w:rPr>
          <w:rFonts w:ascii="Arial" w:hAnsi="Arial" w:cs="Arial"/>
          <w:sz w:val="24"/>
          <w:szCs w:val="24"/>
        </w:rPr>
        <w:t xml:space="preserve"> a Adunării Parlamentare a </w:t>
      </w:r>
      <w:r w:rsidR="000A2CE5">
        <w:rPr>
          <w:rFonts w:ascii="Arial" w:hAnsi="Arial" w:cs="Arial"/>
          <w:sz w:val="24"/>
          <w:szCs w:val="24"/>
        </w:rPr>
        <w:t>Consiliului Europei, afirmă că „</w:t>
      </w:r>
      <w:r w:rsidRPr="00B6273A">
        <w:rPr>
          <w:rFonts w:ascii="Arial" w:hAnsi="Arial" w:cs="Arial"/>
          <w:sz w:val="24"/>
          <w:szCs w:val="24"/>
        </w:rPr>
        <w:t xml:space="preserve">practicile de supraveghere dezvăluite până în prezent pun în pericol drepturile fundamentale ale omului", în special, </w:t>
      </w:r>
      <w:r w:rsidR="000A2CE5">
        <w:rPr>
          <w:rFonts w:ascii="Arial" w:hAnsi="Arial" w:cs="Arial"/>
          <w:sz w:val="24"/>
          <w:szCs w:val="24"/>
        </w:rPr>
        <w:t>„</w:t>
      </w:r>
      <w:r w:rsidRPr="00B6273A">
        <w:rPr>
          <w:rFonts w:ascii="Arial" w:hAnsi="Arial" w:cs="Arial"/>
          <w:sz w:val="24"/>
          <w:szCs w:val="24"/>
        </w:rPr>
        <w:t>când comunicaţiile confidenţiale cu avocaţii" sunt interceptate.</w:t>
      </w:r>
    </w:p>
    <w:p w:rsidR="001043C2" w:rsidRPr="00B6273A" w:rsidRDefault="001043C2" w:rsidP="00B6273A">
      <w:pPr>
        <w:jc w:val="both"/>
        <w:rPr>
          <w:rFonts w:ascii="Arial" w:hAnsi="Arial" w:cs="Arial"/>
          <w:sz w:val="24"/>
          <w:szCs w:val="24"/>
        </w:rPr>
      </w:pPr>
      <w:r w:rsidRPr="00B6273A">
        <w:rPr>
          <w:rFonts w:ascii="Arial" w:hAnsi="Arial" w:cs="Arial"/>
          <w:b/>
          <w:sz w:val="24"/>
          <w:szCs w:val="24"/>
        </w:rPr>
        <w:t>Reamintind</w:t>
      </w:r>
      <w:r w:rsidRPr="00B6273A">
        <w:rPr>
          <w:rFonts w:ascii="Arial" w:hAnsi="Arial" w:cs="Arial"/>
          <w:sz w:val="24"/>
          <w:szCs w:val="24"/>
        </w:rPr>
        <w:t xml:space="preserve"> că Reactualizarea</w:t>
      </w:r>
      <w:r w:rsidR="0047186B">
        <w:rPr>
          <w:rStyle w:val="Referinnotdesubsol"/>
          <w:rFonts w:ascii="Arial" w:hAnsi="Arial" w:cs="Arial"/>
          <w:sz w:val="24"/>
          <w:szCs w:val="24"/>
        </w:rPr>
        <w:footnoteReference w:id="10"/>
      </w:r>
      <w:r w:rsidRPr="00B6273A">
        <w:rPr>
          <w:rFonts w:ascii="Arial" w:hAnsi="Arial" w:cs="Arial"/>
          <w:sz w:val="24"/>
          <w:szCs w:val="24"/>
        </w:rPr>
        <w:t xml:space="preserve"> din </w:t>
      </w:r>
      <w:smartTag w:uri="urn:schemas-microsoft-com:office:smarttags" w:element="metricconverter">
        <w:smartTagPr>
          <w:attr w:name="ProductID" w:val="2015 a"/>
        </w:smartTagPr>
        <w:r w:rsidRPr="00B6273A">
          <w:rPr>
            <w:rFonts w:ascii="Arial" w:hAnsi="Arial" w:cs="Arial"/>
            <w:sz w:val="24"/>
            <w:szCs w:val="24"/>
          </w:rPr>
          <w:t>2015 a</w:t>
        </w:r>
      </w:smartTag>
      <w:r w:rsidRPr="00B6273A">
        <w:rPr>
          <w:rFonts w:ascii="Arial" w:hAnsi="Arial" w:cs="Arial"/>
          <w:sz w:val="24"/>
          <w:szCs w:val="24"/>
        </w:rPr>
        <w:t xml:space="preserve"> Raportului Comisiei Consiliului Europei de la Veneţia privind "Controlul serviciilor de </w:t>
      </w:r>
      <w:r w:rsidR="00B673EE" w:rsidRPr="00B6273A">
        <w:rPr>
          <w:rFonts w:ascii="Arial" w:hAnsi="Arial" w:cs="Arial"/>
          <w:sz w:val="24"/>
          <w:szCs w:val="24"/>
        </w:rPr>
        <w:t>Securitate în societatea democratică”</w:t>
      </w:r>
      <w:r w:rsidRPr="00B6273A">
        <w:rPr>
          <w:rFonts w:ascii="Arial" w:hAnsi="Arial" w:cs="Arial"/>
          <w:sz w:val="24"/>
          <w:szCs w:val="24"/>
        </w:rPr>
        <w:t xml:space="preserve"> şi Raportul privind </w:t>
      </w:r>
      <w:r w:rsidR="00B673EE" w:rsidRPr="00B6273A">
        <w:rPr>
          <w:rFonts w:ascii="Arial" w:hAnsi="Arial" w:cs="Arial"/>
          <w:sz w:val="24"/>
          <w:szCs w:val="24"/>
        </w:rPr>
        <w:t>„C</w:t>
      </w:r>
      <w:r w:rsidRPr="00B6273A">
        <w:rPr>
          <w:rFonts w:ascii="Arial" w:hAnsi="Arial" w:cs="Arial"/>
          <w:sz w:val="24"/>
          <w:szCs w:val="24"/>
        </w:rPr>
        <w:t>ontrolul mijloacelor de intervenție a serviciilor de informații</w:t>
      </w:r>
      <w:r w:rsidR="00B673EE" w:rsidRPr="00B6273A">
        <w:rPr>
          <w:rFonts w:ascii="Arial" w:hAnsi="Arial" w:cs="Arial"/>
          <w:sz w:val="24"/>
          <w:szCs w:val="24"/>
        </w:rPr>
        <w:t xml:space="preserve"> în societatea democratică</w:t>
      </w:r>
      <w:r w:rsidRPr="00B6273A">
        <w:rPr>
          <w:rFonts w:ascii="Arial" w:hAnsi="Arial" w:cs="Arial"/>
          <w:sz w:val="24"/>
          <w:szCs w:val="24"/>
        </w:rPr>
        <w:t>" stabilește că avocații au drepturi speciale în c</w:t>
      </w:r>
      <w:r w:rsidR="0047186B">
        <w:rPr>
          <w:rFonts w:ascii="Arial" w:hAnsi="Arial" w:cs="Arial"/>
          <w:sz w:val="24"/>
          <w:szCs w:val="24"/>
        </w:rPr>
        <w:t>e privește comunicațiile (</w:t>
      </w:r>
      <w:r w:rsidRPr="00B6273A">
        <w:rPr>
          <w:rFonts w:ascii="Arial" w:hAnsi="Arial" w:cs="Arial"/>
          <w:sz w:val="24"/>
          <w:szCs w:val="24"/>
        </w:rPr>
        <w:t>sunt "comunicanţi privilegiaţi") care necesită o protecţie foarte ridicată.</w:t>
      </w:r>
    </w:p>
    <w:p w:rsidR="001043C2" w:rsidRPr="00B6273A" w:rsidRDefault="001043C2" w:rsidP="00B6273A">
      <w:pPr>
        <w:jc w:val="both"/>
        <w:rPr>
          <w:rFonts w:ascii="Arial" w:hAnsi="Arial" w:cs="Arial"/>
          <w:sz w:val="24"/>
          <w:szCs w:val="24"/>
        </w:rPr>
      </w:pPr>
      <w:r w:rsidRPr="00B6273A">
        <w:rPr>
          <w:rFonts w:ascii="Arial" w:hAnsi="Arial" w:cs="Arial"/>
          <w:b/>
          <w:sz w:val="24"/>
          <w:szCs w:val="24"/>
        </w:rPr>
        <w:t>Reamintind</w:t>
      </w:r>
      <w:r w:rsidRPr="00B6273A">
        <w:rPr>
          <w:rFonts w:ascii="Arial" w:hAnsi="Arial" w:cs="Arial"/>
          <w:sz w:val="24"/>
          <w:szCs w:val="24"/>
        </w:rPr>
        <w:t xml:space="preserve"> că Actul din 2015 (Issue Paper)</w:t>
      </w:r>
      <w:r w:rsidR="00540E72">
        <w:rPr>
          <w:rStyle w:val="Referinnotdesubsol"/>
          <w:rFonts w:ascii="Arial" w:hAnsi="Arial" w:cs="Arial"/>
          <w:sz w:val="24"/>
          <w:szCs w:val="24"/>
        </w:rPr>
        <w:footnoteReference w:id="11"/>
      </w:r>
      <w:r w:rsidRPr="00B6273A">
        <w:rPr>
          <w:rFonts w:ascii="Arial" w:hAnsi="Arial" w:cs="Arial"/>
          <w:sz w:val="24"/>
          <w:szCs w:val="24"/>
        </w:rPr>
        <w:t xml:space="preserve"> emis de către Comisarul Consiliului Europei pentru Drepturile Omului privind "Controlul democratic şi eficace a serviciilor naţionale de securitate", afirmă că "interceptarea comunicărilor între avocaţi şi clienţii lor [...] poate submina egalitatea armelor şi dreptul la un proces echitabil, în special în cazul în care serviciile de securitate sunt parte în litigiul în cauză ".</w:t>
      </w:r>
    </w:p>
    <w:p w:rsidR="004F0E5B" w:rsidRPr="00B6273A" w:rsidRDefault="001043C2" w:rsidP="00B6273A">
      <w:pPr>
        <w:jc w:val="both"/>
        <w:rPr>
          <w:rFonts w:ascii="Arial" w:hAnsi="Arial" w:cs="Arial"/>
          <w:sz w:val="24"/>
          <w:szCs w:val="24"/>
        </w:rPr>
      </w:pPr>
      <w:r w:rsidRPr="00B6273A">
        <w:rPr>
          <w:rFonts w:ascii="Arial" w:hAnsi="Arial" w:cs="Arial"/>
          <w:b/>
          <w:sz w:val="24"/>
          <w:szCs w:val="24"/>
        </w:rPr>
        <w:t xml:space="preserve">Reamintind </w:t>
      </w:r>
      <w:r w:rsidRPr="00B6273A">
        <w:rPr>
          <w:rFonts w:ascii="Arial" w:hAnsi="Arial" w:cs="Arial"/>
          <w:sz w:val="24"/>
          <w:szCs w:val="24"/>
        </w:rPr>
        <w:t>că Rezoluţia</w:t>
      </w:r>
      <w:r w:rsidR="00C61796">
        <w:rPr>
          <w:rStyle w:val="Referinnotdesubsol"/>
          <w:rFonts w:ascii="Arial" w:hAnsi="Arial" w:cs="Arial"/>
          <w:sz w:val="24"/>
          <w:szCs w:val="24"/>
        </w:rPr>
        <w:footnoteReference w:id="12"/>
      </w:r>
      <w:r w:rsidRPr="00B6273A">
        <w:rPr>
          <w:rFonts w:ascii="Arial" w:hAnsi="Arial" w:cs="Arial"/>
          <w:sz w:val="24"/>
          <w:szCs w:val="24"/>
        </w:rPr>
        <w:t xml:space="preserve"> Parlamentului European din 12 martie 2014 în ce </w:t>
      </w:r>
      <w:r w:rsidR="008875D2" w:rsidRPr="00B6273A">
        <w:rPr>
          <w:rFonts w:ascii="Arial" w:hAnsi="Arial" w:cs="Arial"/>
          <w:sz w:val="24"/>
          <w:szCs w:val="24"/>
        </w:rPr>
        <w:t>priveşte supravegherea</w:t>
      </w:r>
      <w:r w:rsidRPr="00B6273A">
        <w:rPr>
          <w:rFonts w:ascii="Arial" w:hAnsi="Arial" w:cs="Arial"/>
          <w:sz w:val="24"/>
          <w:szCs w:val="24"/>
        </w:rPr>
        <w:t xml:space="preserve"> subliniază faptul că "orice incertitudine cu privire la confidenţialitatea comunicărilor între avocaţi şi clienţii lor ar putea avea un impact negativ asupra dreptului cetăţenilor UE de acces la consiliere juridică şi la justiţie, precum şi dreptul la un proces echitabil</w:t>
      </w:r>
      <w:r w:rsidR="00FE5ED2">
        <w:rPr>
          <w:rStyle w:val="Referinnotdesubsol"/>
          <w:rFonts w:ascii="Arial" w:hAnsi="Arial" w:cs="Arial"/>
          <w:sz w:val="24"/>
          <w:szCs w:val="24"/>
        </w:rPr>
        <w:footnoteReference w:id="13"/>
      </w:r>
      <w:r w:rsidR="0087110B">
        <w:rPr>
          <w:rFonts w:ascii="Arial" w:hAnsi="Arial" w:cs="Arial"/>
          <w:sz w:val="24"/>
          <w:szCs w:val="24"/>
        </w:rPr>
        <w:t>.</w:t>
      </w:r>
      <w:r w:rsidRPr="00B6273A">
        <w:rPr>
          <w:rFonts w:ascii="Arial" w:hAnsi="Arial" w:cs="Arial"/>
          <w:sz w:val="24"/>
          <w:szCs w:val="24"/>
        </w:rPr>
        <w:t xml:space="preserve"> </w:t>
      </w:r>
    </w:p>
    <w:p w:rsidR="001043C2" w:rsidRPr="00B6273A" w:rsidRDefault="001043C2" w:rsidP="00B6273A">
      <w:pPr>
        <w:jc w:val="both"/>
        <w:rPr>
          <w:rFonts w:ascii="Arial" w:hAnsi="Arial" w:cs="Arial"/>
          <w:sz w:val="24"/>
          <w:szCs w:val="24"/>
        </w:rPr>
      </w:pPr>
      <w:r w:rsidRPr="00B6273A">
        <w:rPr>
          <w:rFonts w:ascii="Arial" w:hAnsi="Arial" w:cs="Arial"/>
          <w:b/>
          <w:sz w:val="24"/>
          <w:szCs w:val="24"/>
        </w:rPr>
        <w:t>Luând în considerare</w:t>
      </w:r>
      <w:r w:rsidRPr="00B6273A">
        <w:rPr>
          <w:rFonts w:ascii="Arial" w:hAnsi="Arial" w:cs="Arial"/>
          <w:sz w:val="24"/>
          <w:szCs w:val="24"/>
        </w:rPr>
        <w:t xml:space="preserve"> Recomandările</w:t>
      </w:r>
      <w:r w:rsidR="0074621D">
        <w:rPr>
          <w:rStyle w:val="Referinnotdesubsol"/>
          <w:rFonts w:ascii="Arial" w:hAnsi="Arial" w:cs="Arial"/>
          <w:sz w:val="24"/>
          <w:szCs w:val="24"/>
        </w:rPr>
        <w:footnoteReference w:id="14"/>
      </w:r>
      <w:r w:rsidRPr="00B6273A">
        <w:rPr>
          <w:rFonts w:ascii="Arial" w:hAnsi="Arial" w:cs="Arial"/>
          <w:sz w:val="24"/>
          <w:szCs w:val="24"/>
        </w:rPr>
        <w:t xml:space="preserve"> adoptate de Consiliul Barourilor Europene privind protecția dreptului la confidențialitate a clientului în contextul activităţilor de supraveghere.</w:t>
      </w:r>
    </w:p>
    <w:p w:rsidR="001043C2" w:rsidRPr="00B6273A" w:rsidRDefault="001043C2" w:rsidP="00B6273A">
      <w:pPr>
        <w:jc w:val="both"/>
        <w:rPr>
          <w:rFonts w:ascii="Arial" w:hAnsi="Arial" w:cs="Arial"/>
          <w:sz w:val="24"/>
          <w:szCs w:val="24"/>
        </w:rPr>
      </w:pPr>
      <w:r w:rsidRPr="00B6273A">
        <w:rPr>
          <w:rFonts w:ascii="Arial" w:hAnsi="Arial" w:cs="Arial"/>
          <w:b/>
          <w:sz w:val="24"/>
          <w:szCs w:val="24"/>
        </w:rPr>
        <w:lastRenderedPageBreak/>
        <w:t>Având în vedere</w:t>
      </w:r>
      <w:r w:rsidRPr="00B6273A">
        <w:rPr>
          <w:rFonts w:ascii="Arial" w:hAnsi="Arial" w:cs="Arial"/>
          <w:sz w:val="24"/>
          <w:szCs w:val="24"/>
        </w:rPr>
        <w:t xml:space="preserve"> apelurile care au fost făcute de către diverse organizaţii</w:t>
      </w:r>
      <w:r w:rsidR="0048000A">
        <w:rPr>
          <w:rStyle w:val="Referinnotdesubsol"/>
          <w:rFonts w:ascii="Arial" w:hAnsi="Arial" w:cs="Arial"/>
          <w:sz w:val="24"/>
          <w:szCs w:val="24"/>
        </w:rPr>
        <w:footnoteReference w:id="15"/>
      </w:r>
      <w:r w:rsidRPr="00B6273A">
        <w:rPr>
          <w:rFonts w:ascii="Arial" w:hAnsi="Arial" w:cs="Arial"/>
          <w:sz w:val="24"/>
          <w:szCs w:val="24"/>
        </w:rPr>
        <w:t xml:space="preserve"> pentru o cartă globală a drepturilor digitale şi un Cod digital, care ar trebui să ofere, de asemenea, o protecţie suplimentară pentru comunicaţiile avocat-client.</w:t>
      </w:r>
    </w:p>
    <w:p w:rsidR="001043C2" w:rsidRPr="00B6273A" w:rsidRDefault="001043C2" w:rsidP="00B6273A">
      <w:pPr>
        <w:jc w:val="both"/>
        <w:rPr>
          <w:rFonts w:ascii="Arial" w:hAnsi="Arial" w:cs="Arial"/>
          <w:sz w:val="24"/>
          <w:szCs w:val="24"/>
        </w:rPr>
      </w:pPr>
      <w:r w:rsidRPr="00B6273A">
        <w:rPr>
          <w:rFonts w:ascii="Arial" w:hAnsi="Arial" w:cs="Arial"/>
          <w:b/>
          <w:sz w:val="24"/>
          <w:szCs w:val="24"/>
        </w:rPr>
        <w:t>Subliniind</w:t>
      </w:r>
      <w:r w:rsidRPr="00B6273A">
        <w:rPr>
          <w:rFonts w:ascii="Arial" w:hAnsi="Arial" w:cs="Arial"/>
          <w:sz w:val="24"/>
          <w:szCs w:val="24"/>
        </w:rPr>
        <w:t xml:space="preserve"> necesitatea unor reguli clare (standarde), Conferența ONGI a Consiliului Europei:</w:t>
      </w:r>
    </w:p>
    <w:p w:rsidR="001043C2" w:rsidRPr="00B6273A" w:rsidRDefault="001043C2" w:rsidP="00B6273A">
      <w:pPr>
        <w:jc w:val="both"/>
        <w:rPr>
          <w:rFonts w:ascii="Arial" w:hAnsi="Arial" w:cs="Arial"/>
          <w:sz w:val="24"/>
          <w:szCs w:val="24"/>
        </w:rPr>
      </w:pPr>
      <w:r w:rsidRPr="00B6273A">
        <w:rPr>
          <w:rFonts w:ascii="Arial" w:hAnsi="Arial" w:cs="Arial"/>
          <w:sz w:val="24"/>
          <w:szCs w:val="24"/>
        </w:rPr>
        <w:t xml:space="preserve">1. </w:t>
      </w:r>
      <w:r w:rsidRPr="00B6273A">
        <w:rPr>
          <w:rFonts w:ascii="Arial" w:hAnsi="Arial" w:cs="Arial"/>
          <w:b/>
          <w:sz w:val="24"/>
          <w:szCs w:val="24"/>
        </w:rPr>
        <w:t>Îndeamnă</w:t>
      </w:r>
      <w:r w:rsidRPr="00B6273A">
        <w:rPr>
          <w:rFonts w:ascii="Arial" w:hAnsi="Arial" w:cs="Arial"/>
          <w:sz w:val="24"/>
          <w:szCs w:val="24"/>
        </w:rPr>
        <w:t xml:space="preserve"> Comitetul de Miniştri al Consiliului Europei să adopte şi să pună în aplicare recomandările enumerate mai jos, astfel încât să se asigure că principiile privind secretul profesional şi privilegiile profesionale ale profesiei de avocat nu sunt compromise (subminate) de practicile susținute de stat, care implică interceptarea în scopul supravegherii comunicărilor între avocaţi şi clienţi şi a altor documente/lucrări protejate de secretului profesional sau supuse obligației de păstrare a secretului profesional:</w:t>
      </w:r>
    </w:p>
    <w:p w:rsidR="001043C2" w:rsidRPr="00B6273A" w:rsidRDefault="001043C2" w:rsidP="00B6273A">
      <w:pPr>
        <w:jc w:val="both"/>
        <w:rPr>
          <w:rFonts w:ascii="Arial" w:hAnsi="Arial" w:cs="Arial"/>
          <w:sz w:val="24"/>
          <w:szCs w:val="24"/>
        </w:rPr>
      </w:pPr>
      <w:r w:rsidRPr="00B6273A">
        <w:rPr>
          <w:rFonts w:ascii="Arial" w:hAnsi="Arial" w:cs="Arial"/>
          <w:sz w:val="24"/>
          <w:szCs w:val="24"/>
        </w:rPr>
        <w:t>a) Orice supraveghere (interceptare) directă sau indirectă efectuată de către stat trebuie să se încadreze în limitele statului de drept, respectând principiul conform căruia toate documentele/lucrările şi comunicaţiile protejate de secretul profesional sau supuse obligației de păstrare a secretului profesional sunt inviolabile, care nu pot fi încălcate în procedura interceptării sau supravegherii.</w:t>
      </w:r>
    </w:p>
    <w:p w:rsidR="001043C2" w:rsidRPr="00B6273A" w:rsidRDefault="001043C2" w:rsidP="00B6273A">
      <w:pPr>
        <w:jc w:val="both"/>
        <w:rPr>
          <w:rFonts w:ascii="Arial" w:hAnsi="Arial" w:cs="Arial"/>
          <w:sz w:val="24"/>
          <w:szCs w:val="24"/>
        </w:rPr>
      </w:pPr>
      <w:r w:rsidRPr="00B6273A">
        <w:rPr>
          <w:rFonts w:ascii="Arial" w:hAnsi="Arial" w:cs="Arial"/>
          <w:sz w:val="24"/>
          <w:szCs w:val="24"/>
        </w:rPr>
        <w:t xml:space="preserve">b) Toate activităţile de supraveghere necesită să fie reglementate corespunzător în legislația primară </w:t>
      </w:r>
      <w:r w:rsidR="00FE5ED2" w:rsidRPr="00B6273A">
        <w:rPr>
          <w:rFonts w:ascii="Arial" w:hAnsi="Arial" w:cs="Arial"/>
          <w:sz w:val="24"/>
          <w:szCs w:val="24"/>
        </w:rPr>
        <w:t>specifică, care</w:t>
      </w:r>
      <w:r w:rsidRPr="00B6273A">
        <w:rPr>
          <w:rFonts w:ascii="Arial" w:hAnsi="Arial" w:cs="Arial"/>
          <w:sz w:val="24"/>
          <w:szCs w:val="24"/>
        </w:rPr>
        <w:t xml:space="preserve"> prevedă o protecţie explicită a comunicaţiilor avocat-client. De asemenea, în cazul de externalizare a activităţilor de supraveghere către entităţi private, autoritățile statului trebuie să deţină întotdeauna pe deplin controlul asupra întregului proces de supraveghere. Decriptarea datelor securizate poate fi permisă numai în cazurile prevăzute de lege și ca urmare a unei autorizații judiciare prealabile.</w:t>
      </w:r>
    </w:p>
    <w:p w:rsidR="001043C2" w:rsidRPr="00B6273A" w:rsidRDefault="001043C2" w:rsidP="00B6273A">
      <w:pPr>
        <w:jc w:val="both"/>
        <w:rPr>
          <w:rFonts w:ascii="Arial" w:hAnsi="Arial" w:cs="Arial"/>
          <w:sz w:val="24"/>
          <w:szCs w:val="24"/>
          <w:vertAlign w:val="superscript"/>
        </w:rPr>
      </w:pPr>
      <w:r w:rsidRPr="00B6273A">
        <w:rPr>
          <w:rFonts w:ascii="Arial" w:hAnsi="Arial" w:cs="Arial"/>
          <w:sz w:val="24"/>
          <w:szCs w:val="24"/>
        </w:rPr>
        <w:t xml:space="preserve">c) Numai comunicările care nu intră în sfera de aplicare a secretului profesional sau a altor obligații profesionale pot fi interceptate. Nu poate exista protecția comunicațiilor în cazul în care avocatul este implicat în săvârșirea unei infracțiuni. În acest caz, trebuie să se asigure inviolabilitatea datelor care intră în domeniul de aplicare a confidenţialităţii avocat-client. Prin urmare, un mandat de interceptare a comunicaţiilor cu un avocat nu ar trebui acordat, decât dacă există dovezi suficiente că datele </w:t>
      </w:r>
      <w:r w:rsidR="00CA666B" w:rsidRPr="00B6273A">
        <w:rPr>
          <w:rFonts w:ascii="Arial" w:hAnsi="Arial" w:cs="Arial"/>
          <w:sz w:val="24"/>
          <w:szCs w:val="24"/>
        </w:rPr>
        <w:t>c</w:t>
      </w:r>
      <w:r w:rsidRPr="00B6273A">
        <w:rPr>
          <w:rFonts w:ascii="Arial" w:hAnsi="Arial" w:cs="Arial"/>
          <w:sz w:val="24"/>
          <w:szCs w:val="24"/>
        </w:rPr>
        <w:t xml:space="preserve">e trebuie </w:t>
      </w:r>
      <w:r w:rsidR="005908D8">
        <w:rPr>
          <w:rFonts w:ascii="Arial" w:hAnsi="Arial" w:cs="Arial"/>
          <w:sz w:val="24"/>
          <w:szCs w:val="24"/>
        </w:rPr>
        <w:t>interceptate nu sunt supuse obl</w:t>
      </w:r>
      <w:bookmarkStart w:id="0" w:name="_GoBack"/>
      <w:bookmarkEnd w:id="0"/>
      <w:r w:rsidRPr="00B6273A">
        <w:rPr>
          <w:rFonts w:ascii="Arial" w:hAnsi="Arial" w:cs="Arial"/>
          <w:sz w:val="24"/>
          <w:szCs w:val="24"/>
        </w:rPr>
        <w:t xml:space="preserve">igațiilor profesionale sau protejate de secretul profesional. Autoritățile statului competente în materie ar trebui obligate să utilizeze toate mijloacele tehnologice disponibile care să permită evitarea interceptării/culegerii de date/materiale protejate de </w:t>
      </w:r>
      <w:r w:rsidRPr="00B6273A">
        <w:rPr>
          <w:rFonts w:ascii="Arial" w:hAnsi="Arial" w:cs="Arial"/>
          <w:sz w:val="24"/>
          <w:szCs w:val="24"/>
        </w:rPr>
        <w:lastRenderedPageBreak/>
        <w:t>secretul profesional sau supuse obligațiilor profesionale care nu intră în sfera de aplicare a operațiunilor de supraveghere</w:t>
      </w:r>
      <w:r w:rsidR="003A7944">
        <w:rPr>
          <w:rStyle w:val="Referinnotdesubsol"/>
          <w:rFonts w:ascii="Arial" w:hAnsi="Arial" w:cs="Arial"/>
          <w:sz w:val="24"/>
          <w:szCs w:val="24"/>
        </w:rPr>
        <w:footnoteReference w:id="16"/>
      </w:r>
      <w:r w:rsidRPr="00B6273A">
        <w:rPr>
          <w:rFonts w:ascii="Arial" w:hAnsi="Arial" w:cs="Arial"/>
          <w:sz w:val="24"/>
          <w:szCs w:val="24"/>
        </w:rPr>
        <w:t>.</w:t>
      </w:r>
    </w:p>
    <w:p w:rsidR="001043C2" w:rsidRPr="00B6273A" w:rsidRDefault="001043C2" w:rsidP="00B6273A">
      <w:pPr>
        <w:jc w:val="both"/>
        <w:rPr>
          <w:rFonts w:ascii="Arial" w:hAnsi="Arial" w:cs="Arial"/>
          <w:sz w:val="24"/>
          <w:szCs w:val="24"/>
        </w:rPr>
      </w:pPr>
      <w:r w:rsidRPr="00B6273A">
        <w:rPr>
          <w:rFonts w:ascii="Arial" w:hAnsi="Arial" w:cs="Arial"/>
          <w:sz w:val="24"/>
          <w:szCs w:val="24"/>
        </w:rPr>
        <w:t>d) Autorizaţia de interceptare a comunicaţiilor avocat-client trebuie obținută anterior într-o procedură judiciară și să prevadă toate limitările necesare. Ar trebui să existe un control judiciar</w:t>
      </w:r>
      <w:r w:rsidR="004F0E5B" w:rsidRPr="00B6273A">
        <w:rPr>
          <w:rFonts w:ascii="Arial" w:hAnsi="Arial" w:cs="Arial"/>
          <w:sz w:val="24"/>
          <w:szCs w:val="24"/>
        </w:rPr>
        <w:t xml:space="preserve"> ulterior, </w:t>
      </w:r>
      <w:r w:rsidRPr="00B6273A">
        <w:rPr>
          <w:rFonts w:ascii="Arial" w:hAnsi="Arial" w:cs="Arial"/>
          <w:sz w:val="24"/>
          <w:szCs w:val="24"/>
        </w:rPr>
        <w:t>dar doar în circumstanţe excepţionale. După ce a fost acordată autorizaţia de interceptare, este necesar să se asigure că un organism judiciar independent, care să aibă atribuții de finalizare a interceptării şi/sau de distrugere a materialul interceptat, supraveghează toate etapele procedurii de supraveghere. În acest scop, organismul</w:t>
      </w:r>
      <w:r w:rsidR="004F0E5B" w:rsidRPr="00B6273A">
        <w:rPr>
          <w:rFonts w:ascii="Arial" w:hAnsi="Arial" w:cs="Arial"/>
          <w:sz w:val="24"/>
          <w:szCs w:val="24"/>
        </w:rPr>
        <w:t>ui</w:t>
      </w:r>
      <w:r w:rsidRPr="00B6273A">
        <w:rPr>
          <w:rFonts w:ascii="Arial" w:hAnsi="Arial" w:cs="Arial"/>
          <w:sz w:val="24"/>
          <w:szCs w:val="24"/>
        </w:rPr>
        <w:t xml:space="preserve"> de supraveghere trebuie să i se acorde competenţe suficiente prin lege pentru a lua decizii executorii şi să fie independent din punct de vedere financiar și politic.</w:t>
      </w:r>
    </w:p>
    <w:p w:rsidR="001043C2" w:rsidRPr="00B6273A" w:rsidRDefault="001043C2" w:rsidP="00B6273A">
      <w:pPr>
        <w:jc w:val="both"/>
        <w:rPr>
          <w:rFonts w:ascii="Arial" w:hAnsi="Arial" w:cs="Arial"/>
          <w:sz w:val="24"/>
          <w:szCs w:val="24"/>
        </w:rPr>
      </w:pPr>
      <w:r w:rsidRPr="00B6273A">
        <w:rPr>
          <w:rFonts w:ascii="Arial" w:hAnsi="Arial" w:cs="Arial"/>
          <w:sz w:val="24"/>
          <w:szCs w:val="24"/>
        </w:rPr>
        <w:t xml:space="preserve">e) Orice material interceptat obţinut fără autorizaţie judiciară şi cu încălcarea obligației de confidențialitate în relația avocat-client nu poate fi folosit într-un proces şi trebuie să fie obligatoriu distrus. Orice material obţinut în mod legal ar trebui să fie admis ca probă în instanţă şi comunicat tuturor părţilor </w:t>
      </w:r>
      <w:r w:rsidR="004F0E5B" w:rsidRPr="00B6273A">
        <w:rPr>
          <w:rFonts w:ascii="Arial" w:hAnsi="Arial" w:cs="Arial"/>
          <w:sz w:val="24"/>
          <w:szCs w:val="24"/>
        </w:rPr>
        <w:t xml:space="preserve">implicate în </w:t>
      </w:r>
      <w:r w:rsidRPr="00B6273A">
        <w:rPr>
          <w:rFonts w:ascii="Arial" w:hAnsi="Arial" w:cs="Arial"/>
          <w:sz w:val="24"/>
          <w:szCs w:val="24"/>
        </w:rPr>
        <w:t>proce</w:t>
      </w:r>
      <w:r w:rsidR="004F0E5B" w:rsidRPr="00B6273A">
        <w:rPr>
          <w:rFonts w:ascii="Arial" w:hAnsi="Arial" w:cs="Arial"/>
          <w:sz w:val="24"/>
          <w:szCs w:val="24"/>
        </w:rPr>
        <w:t>s</w:t>
      </w:r>
      <w:r w:rsidRPr="00B6273A">
        <w:rPr>
          <w:rFonts w:ascii="Arial" w:hAnsi="Arial" w:cs="Arial"/>
          <w:sz w:val="24"/>
          <w:szCs w:val="24"/>
        </w:rPr>
        <w:t>.</w:t>
      </w:r>
    </w:p>
    <w:p w:rsidR="001043C2" w:rsidRPr="00B6273A" w:rsidRDefault="001043C2" w:rsidP="00B6273A">
      <w:pPr>
        <w:jc w:val="both"/>
        <w:rPr>
          <w:rFonts w:ascii="Arial" w:hAnsi="Arial" w:cs="Arial"/>
          <w:sz w:val="24"/>
          <w:szCs w:val="24"/>
        </w:rPr>
      </w:pPr>
      <w:r w:rsidRPr="00B6273A">
        <w:rPr>
          <w:rFonts w:ascii="Arial" w:hAnsi="Arial" w:cs="Arial"/>
          <w:sz w:val="24"/>
          <w:szCs w:val="24"/>
        </w:rPr>
        <w:t xml:space="preserve">f) Este necesar să existe căi de atac pentru avocaţii şi clienţilor lor, care au făcut subiectul unei supravegheri ilegale şi să fie introdus un sistem de sancţiuni. Avocaţii şi clienţii lor au dreptul de a fi informaţi cu privire la datele colectate ca urmare a unei supravegheri directe sau indirecte, odată ce a fost dezvăluit faptul că au fost întreprinse măsuri de supraveghere şi ar trebui să fie în măsură să conteste legalitatea unor astfel de măsuri în cadrul unui proces. Tuturor autorităților statului care s-au dovedit a fi întreprins activităţi ilegale de supraveghere trebuie să li se </w:t>
      </w:r>
      <w:r w:rsidR="004F0E5B" w:rsidRPr="00B6273A">
        <w:rPr>
          <w:rFonts w:ascii="Arial" w:hAnsi="Arial" w:cs="Arial"/>
          <w:sz w:val="24"/>
          <w:szCs w:val="24"/>
        </w:rPr>
        <w:t xml:space="preserve">poată </w:t>
      </w:r>
      <w:r w:rsidRPr="00B6273A">
        <w:rPr>
          <w:rFonts w:ascii="Arial" w:hAnsi="Arial" w:cs="Arial"/>
          <w:sz w:val="24"/>
          <w:szCs w:val="24"/>
        </w:rPr>
        <w:t>aplica sancțiuni corespunzătoare.</w:t>
      </w:r>
    </w:p>
    <w:p w:rsidR="001043C2" w:rsidRPr="00B6273A" w:rsidRDefault="001043C2" w:rsidP="00B6273A">
      <w:pPr>
        <w:jc w:val="both"/>
        <w:rPr>
          <w:rFonts w:ascii="Arial" w:hAnsi="Arial" w:cs="Arial"/>
          <w:sz w:val="24"/>
          <w:szCs w:val="24"/>
        </w:rPr>
      </w:pPr>
      <w:r w:rsidRPr="00B6273A">
        <w:rPr>
          <w:rFonts w:ascii="Arial" w:hAnsi="Arial" w:cs="Arial"/>
          <w:sz w:val="24"/>
          <w:szCs w:val="24"/>
        </w:rPr>
        <w:t xml:space="preserve">2. </w:t>
      </w:r>
      <w:r w:rsidRPr="00B6273A">
        <w:rPr>
          <w:rFonts w:ascii="Arial" w:hAnsi="Arial" w:cs="Arial"/>
          <w:b/>
          <w:sz w:val="24"/>
          <w:szCs w:val="24"/>
        </w:rPr>
        <w:t>Solicită</w:t>
      </w:r>
      <w:r w:rsidRPr="00B6273A">
        <w:rPr>
          <w:rFonts w:ascii="Arial" w:hAnsi="Arial" w:cs="Arial"/>
          <w:sz w:val="24"/>
          <w:szCs w:val="24"/>
        </w:rPr>
        <w:t xml:space="preserve"> Comitetului de Miniştri al Consiliului Europei elaborarea şi adoptarea Recomandărilor privind protecţia comunicaţiilor avocat-client în contextul activităţilor de supraveghere pe baza regulilor prezentate mai sus.</w:t>
      </w:r>
    </w:p>
    <w:p w:rsidR="00B01C2F" w:rsidRDefault="001043C2" w:rsidP="009C599F">
      <w:pPr>
        <w:jc w:val="both"/>
        <w:rPr>
          <w:rFonts w:ascii="Times New Roman" w:hAnsi="Times New Roman" w:cs="Times New Roman"/>
          <w:sz w:val="24"/>
          <w:szCs w:val="24"/>
        </w:rPr>
      </w:pPr>
      <w:r w:rsidRPr="00B6273A">
        <w:rPr>
          <w:rFonts w:ascii="Arial" w:hAnsi="Arial" w:cs="Arial"/>
          <w:sz w:val="24"/>
          <w:szCs w:val="24"/>
        </w:rPr>
        <w:t xml:space="preserve">3. </w:t>
      </w:r>
      <w:r w:rsidRPr="00B6273A">
        <w:rPr>
          <w:rFonts w:ascii="Arial" w:hAnsi="Arial" w:cs="Arial"/>
          <w:b/>
          <w:sz w:val="24"/>
          <w:szCs w:val="24"/>
        </w:rPr>
        <w:t>Invită</w:t>
      </w:r>
      <w:r w:rsidRPr="00B6273A">
        <w:rPr>
          <w:rFonts w:ascii="Arial" w:hAnsi="Arial" w:cs="Arial"/>
          <w:sz w:val="24"/>
          <w:szCs w:val="24"/>
        </w:rPr>
        <w:t xml:space="preserve"> Comitetul Miniştrilor al Consiliului Europei să elaboreze o definiţie a noțiunii de "securitate", inclusiv de "securitate națională", care să cuprindă aspecte specifice, pentru a se asigura că activitățile guvernamentale pot fi revizuite în mod efectiv în cadrul unui proces, pentru a asigura respectarea principiilor necesității și proporționalității.</w:t>
      </w:r>
      <w:bookmarkStart w:id="1" w:name="page4"/>
      <w:bookmarkEnd w:id="1"/>
    </w:p>
    <w:sectPr w:rsidR="00B01C2F" w:rsidSect="00B01C2F">
      <w:pgSz w:w="12240" w:h="15840"/>
      <w:pgMar w:top="1396" w:right="1420" w:bottom="1129" w:left="1341" w:header="720" w:footer="720" w:gutter="0"/>
      <w:cols w:space="720" w:equalWidth="0">
        <w:col w:w="94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A5" w:rsidRDefault="00F375A5" w:rsidP="00A71DF5">
      <w:pPr>
        <w:spacing w:after="0" w:line="240" w:lineRule="auto"/>
      </w:pPr>
      <w:r>
        <w:separator/>
      </w:r>
    </w:p>
  </w:endnote>
  <w:endnote w:type="continuationSeparator" w:id="0">
    <w:p w:rsidR="00F375A5" w:rsidRDefault="00F375A5" w:rsidP="00A71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A5" w:rsidRDefault="00F375A5" w:rsidP="00A71DF5">
      <w:pPr>
        <w:spacing w:after="0" w:line="240" w:lineRule="auto"/>
      </w:pPr>
      <w:r>
        <w:separator/>
      </w:r>
    </w:p>
  </w:footnote>
  <w:footnote w:type="continuationSeparator" w:id="0">
    <w:p w:rsidR="00F375A5" w:rsidRDefault="00F375A5" w:rsidP="00A71DF5">
      <w:pPr>
        <w:spacing w:after="0" w:line="240" w:lineRule="auto"/>
      </w:pPr>
      <w:r>
        <w:continuationSeparator/>
      </w:r>
    </w:p>
  </w:footnote>
  <w:footnote w:id="1">
    <w:p w:rsidR="00A71DF5" w:rsidRPr="00A71DF5" w:rsidRDefault="00A71DF5" w:rsidP="007565F9">
      <w:pPr>
        <w:widowControl w:val="0"/>
        <w:overflowPunct w:val="0"/>
        <w:autoSpaceDE w:val="0"/>
        <w:autoSpaceDN w:val="0"/>
        <w:adjustRightInd w:val="0"/>
        <w:spacing w:line="227" w:lineRule="auto"/>
        <w:ind w:left="3"/>
        <w:jc w:val="both"/>
        <w:rPr>
          <w:lang w:val="ro-RO"/>
        </w:rPr>
      </w:pPr>
      <w:r w:rsidRPr="00A71DF5">
        <w:rPr>
          <w:rStyle w:val="Referinnotdesubsol"/>
          <w:rFonts w:ascii="Arial" w:hAnsi="Arial" w:cs="Arial"/>
          <w:i/>
          <w:sz w:val="20"/>
          <w:szCs w:val="20"/>
        </w:rPr>
        <w:footnoteRef/>
      </w:r>
      <w:r w:rsidRPr="00A71DF5">
        <w:rPr>
          <w:rFonts w:ascii="Arial" w:hAnsi="Arial" w:cs="Arial"/>
          <w:i/>
          <w:sz w:val="20"/>
          <w:szCs w:val="20"/>
        </w:rPr>
        <w:t xml:space="preserve"> Ca exemplu, preocupările sunt inserate în Rapoartele Adunării Parlamentare a Consiliului Europei, ale Comisiei de la Veneția, ale Comisarului pentru drepturile Omului din cadrul Consiliului Europei și ale Parlamentului European (notele de subsol 9-13)</w:t>
      </w:r>
    </w:p>
  </w:footnote>
  <w:footnote w:id="2">
    <w:p w:rsidR="007565F9" w:rsidRPr="007565F9" w:rsidRDefault="007565F9">
      <w:pPr>
        <w:pStyle w:val="Textnotdesubsol"/>
        <w:rPr>
          <w:rFonts w:ascii="Arial" w:hAnsi="Arial" w:cs="Arial"/>
          <w:i/>
          <w:lang w:val="ro-RO"/>
        </w:rPr>
      </w:pPr>
      <w:r w:rsidRPr="007565F9">
        <w:rPr>
          <w:rStyle w:val="Referinnotdesubsol"/>
          <w:rFonts w:ascii="Arial" w:hAnsi="Arial" w:cs="Arial"/>
          <w:i/>
        </w:rPr>
        <w:footnoteRef/>
      </w:r>
      <w:r w:rsidRPr="007565F9">
        <w:rPr>
          <w:rFonts w:ascii="Arial" w:hAnsi="Arial" w:cs="Arial"/>
          <w:i/>
        </w:rPr>
        <w:t xml:space="preserve"> Toate țările europene prevăd în legislația specifică dreptul și obligația avocatului privind confidențialitatea în relația cu clientul. În unele jurisdicții, confidențialitatea este prevăzută ca fiind un atribut/privilegiu al avocatului, în timp ce în celelalte, aceasta este reglementată ca secret profesional. Ambele abordări au, însă același scop: protecția informațiilor generate în relația client-avocat în scopul de a da/primi consultație juridică (în materii litigioase sau nu) și.ori de a asista /reprezenta pe client în orice tip de proceduri judiciare, civile sau penale. Penru mai multe informații, a se vedea Recomandările CCBE privind protecția confidențialității în raport de activitățile de supraveghere (28.04.2016, pag. 9-10).</w:t>
      </w:r>
    </w:p>
  </w:footnote>
  <w:footnote w:id="3">
    <w:p w:rsidR="008929D9" w:rsidRPr="00A9714B" w:rsidRDefault="008929D9" w:rsidP="00A9714B">
      <w:pPr>
        <w:widowControl w:val="0"/>
        <w:overflowPunct w:val="0"/>
        <w:autoSpaceDE w:val="0"/>
        <w:autoSpaceDN w:val="0"/>
        <w:adjustRightInd w:val="0"/>
        <w:spacing w:line="217" w:lineRule="auto"/>
        <w:jc w:val="both"/>
        <w:rPr>
          <w:rFonts w:ascii="Arial" w:hAnsi="Arial" w:cs="Arial"/>
          <w:i/>
          <w:sz w:val="20"/>
          <w:szCs w:val="20"/>
          <w:lang w:val="ro-RO"/>
        </w:rPr>
      </w:pPr>
      <w:r w:rsidRPr="00A9714B">
        <w:rPr>
          <w:rStyle w:val="Referinnotdesubsol"/>
          <w:rFonts w:ascii="Arial" w:hAnsi="Arial" w:cs="Arial"/>
          <w:i/>
          <w:sz w:val="20"/>
          <w:szCs w:val="20"/>
        </w:rPr>
        <w:footnoteRef/>
      </w:r>
      <w:r w:rsidRPr="00A9714B">
        <w:rPr>
          <w:rFonts w:ascii="Arial" w:hAnsi="Arial" w:cs="Arial"/>
          <w:i/>
          <w:sz w:val="20"/>
          <w:szCs w:val="20"/>
        </w:rPr>
        <w:t xml:space="preserve"> A se vedea Rapoartele actualizate ale Comisiei de la Veneția privind controlul serviciilor de Informații în societatea democratică, respectiv, privind controlul mijloacelor de intervenție a serviciilor de informații în societatea democratică.</w:t>
      </w:r>
    </w:p>
  </w:footnote>
  <w:footnote w:id="4">
    <w:p w:rsidR="00F81830" w:rsidRDefault="00F81830" w:rsidP="00A9714B">
      <w:pPr>
        <w:pStyle w:val="Textnotdesubsol"/>
        <w:jc w:val="both"/>
        <w:rPr>
          <w:rFonts w:ascii="Arial" w:hAnsi="Arial" w:cs="Arial"/>
          <w:i/>
        </w:rPr>
      </w:pPr>
      <w:r w:rsidRPr="00A9714B">
        <w:rPr>
          <w:rStyle w:val="Referinnotdesubsol"/>
          <w:rFonts w:ascii="Arial" w:hAnsi="Arial" w:cs="Arial"/>
          <w:i/>
        </w:rPr>
        <w:footnoteRef/>
      </w:r>
      <w:r w:rsidRPr="00A9714B">
        <w:rPr>
          <w:rFonts w:ascii="Arial" w:hAnsi="Arial" w:cs="Arial"/>
          <w:i/>
        </w:rPr>
        <w:t xml:space="preserve"> Termenul „comunicații avocat-client” desemnează orice comunicare cu sau între avocați în cursul</w:t>
      </w:r>
      <w:r w:rsidR="00A9714B">
        <w:rPr>
          <w:rFonts w:ascii="Arial" w:hAnsi="Arial" w:cs="Arial"/>
          <w:i/>
        </w:rPr>
        <w:t xml:space="preserve"> d</w:t>
      </w:r>
      <w:r w:rsidRPr="00A9714B">
        <w:rPr>
          <w:rFonts w:ascii="Arial" w:hAnsi="Arial" w:cs="Arial"/>
          <w:i/>
        </w:rPr>
        <w:t>esfășurării activității profesionale, inclusiv orice dată care este protejată de secretul profesional sau privilegiul profesiei de avocat</w:t>
      </w:r>
      <w:r w:rsidR="007D3011">
        <w:rPr>
          <w:rFonts w:ascii="Arial" w:hAnsi="Arial" w:cs="Arial"/>
          <w:i/>
        </w:rPr>
        <w:t>.</w:t>
      </w:r>
    </w:p>
    <w:p w:rsidR="007D3011" w:rsidRPr="00F81830" w:rsidRDefault="007D3011" w:rsidP="00A9714B">
      <w:pPr>
        <w:pStyle w:val="Textnotdesubsol"/>
        <w:jc w:val="both"/>
        <w:rPr>
          <w:lang w:val="ro-RO"/>
        </w:rPr>
      </w:pPr>
    </w:p>
  </w:footnote>
  <w:footnote w:id="5">
    <w:p w:rsidR="007D3011" w:rsidRPr="007D3011" w:rsidRDefault="007D3011" w:rsidP="007D3011">
      <w:pPr>
        <w:widowControl w:val="0"/>
        <w:overflowPunct w:val="0"/>
        <w:autoSpaceDE w:val="0"/>
        <w:autoSpaceDN w:val="0"/>
        <w:adjustRightInd w:val="0"/>
        <w:spacing w:line="236" w:lineRule="auto"/>
        <w:jc w:val="both"/>
        <w:rPr>
          <w:rFonts w:ascii="Arial" w:hAnsi="Arial" w:cs="Arial"/>
          <w:i/>
          <w:sz w:val="20"/>
          <w:szCs w:val="20"/>
          <w:lang w:val="ro-RO"/>
        </w:rPr>
      </w:pPr>
      <w:r w:rsidRPr="007D3011">
        <w:rPr>
          <w:rStyle w:val="Referinnotdesubsol"/>
          <w:rFonts w:ascii="Arial" w:hAnsi="Arial" w:cs="Arial"/>
          <w:i/>
          <w:sz w:val="20"/>
          <w:szCs w:val="20"/>
        </w:rPr>
        <w:footnoteRef/>
      </w:r>
      <w:r w:rsidRPr="007D3011">
        <w:rPr>
          <w:rFonts w:ascii="Arial" w:hAnsi="Arial" w:cs="Arial"/>
          <w:i/>
          <w:sz w:val="20"/>
          <w:szCs w:val="20"/>
        </w:rPr>
        <w:t xml:space="preserve"> </w:t>
      </w:r>
      <w:r w:rsidRPr="007D3011">
        <w:rPr>
          <w:rFonts w:ascii="Arial" w:hAnsi="Arial" w:cs="Arial"/>
          <w:i/>
          <w:iCs/>
          <w:sz w:val="20"/>
          <w:szCs w:val="20"/>
        </w:rPr>
        <w:t xml:space="preserve">De exemplu în următoarele cazuri: </w:t>
      </w:r>
      <w:hyperlink r:id="rId1" w:anchor="\\\\\\\{%22itemid%22:[%22001-57709%22]\\\\\\\}" w:history="1">
        <w:r w:rsidRPr="007D3011">
          <w:rPr>
            <w:rFonts w:ascii="Arial" w:hAnsi="Arial" w:cs="Arial"/>
            <w:i/>
            <w:sz w:val="20"/>
            <w:szCs w:val="20"/>
          </w:rPr>
          <w:t xml:space="preserve"> </w:t>
        </w:r>
        <w:r w:rsidRPr="007D3011">
          <w:rPr>
            <w:rFonts w:ascii="Arial" w:hAnsi="Arial" w:cs="Arial"/>
            <w:i/>
            <w:iCs/>
            <w:color w:val="0563C1"/>
            <w:sz w:val="20"/>
            <w:szCs w:val="20"/>
            <w:u w:val="single"/>
          </w:rPr>
          <w:t>S. v. Switzerland</w:t>
        </w:r>
      </w:hyperlink>
      <w:r w:rsidRPr="007D3011">
        <w:rPr>
          <w:rFonts w:ascii="Arial" w:hAnsi="Arial" w:cs="Arial"/>
          <w:i/>
          <w:sz w:val="20"/>
          <w:szCs w:val="20"/>
          <w:u w:val="single"/>
        </w:rPr>
        <w:t xml:space="preserve"> </w:t>
      </w:r>
      <w:r w:rsidRPr="007D3011">
        <w:rPr>
          <w:rFonts w:ascii="Arial" w:hAnsi="Arial" w:cs="Arial"/>
          <w:i/>
          <w:sz w:val="20"/>
          <w:szCs w:val="20"/>
        </w:rPr>
        <w:t>(12629/87, 1991) (</w:t>
      </w:r>
      <w:r w:rsidRPr="007D3011">
        <w:rPr>
          <w:rFonts w:ascii="Arial" w:hAnsi="Arial" w:cs="Arial"/>
          <w:i/>
          <w:iCs/>
          <w:sz w:val="20"/>
          <w:szCs w:val="20"/>
        </w:rPr>
        <w:t xml:space="preserve">“(…) dacă un avocat nu are posibilitatea de a discuta cu clientul și de a primi informații/instrucțiuni confidențiale de la acesta fără a face obiectul unei supravegheri, asistența acordată își pierde din utilitate, în contradicție cu Convenția, care are ca scop garantarea uni astfel de drept care să fie efectiv și eficient(...); </w:t>
      </w:r>
      <w:hyperlink r:id="rId2" w:anchor="{%22itemid%22:[%22001-150776%22]}" w:history="1">
        <w:r w:rsidRPr="007D3011">
          <w:rPr>
            <w:rFonts w:ascii="Arial" w:hAnsi="Arial" w:cs="Arial"/>
            <w:i/>
            <w:iCs/>
            <w:sz w:val="20"/>
            <w:szCs w:val="20"/>
          </w:rPr>
          <w:t xml:space="preserve"> </w:t>
        </w:r>
        <w:r w:rsidRPr="007D3011">
          <w:rPr>
            <w:rFonts w:ascii="Arial" w:hAnsi="Arial" w:cs="Arial"/>
            <w:i/>
            <w:iCs/>
            <w:color w:val="0563C1"/>
            <w:sz w:val="20"/>
            <w:szCs w:val="20"/>
            <w:u w:val="single"/>
          </w:rPr>
          <w:t>Prutean</w:t>
        </w:r>
      </w:hyperlink>
      <w:r w:rsidRPr="007D3011">
        <w:rPr>
          <w:rFonts w:ascii="Arial" w:hAnsi="Arial" w:cs="Arial"/>
          <w:i/>
          <w:iCs/>
          <w:color w:val="0563C1"/>
          <w:sz w:val="20"/>
          <w:szCs w:val="20"/>
          <w:u w:val="single"/>
        </w:rPr>
        <w:t>u</w:t>
      </w:r>
      <w:r w:rsidRPr="007D3011">
        <w:rPr>
          <w:rFonts w:ascii="Arial" w:hAnsi="Arial" w:cs="Arial"/>
          <w:i/>
          <w:iCs/>
          <w:sz w:val="20"/>
          <w:szCs w:val="20"/>
        </w:rPr>
        <w:t xml:space="preserve"> </w:t>
      </w:r>
      <w:hyperlink r:id="rId3" w:anchor="{%22itemid%22:[%22001-150776%22]}" w:history="1">
        <w:r w:rsidRPr="007D3011">
          <w:rPr>
            <w:rFonts w:ascii="Arial" w:hAnsi="Arial" w:cs="Arial"/>
            <w:i/>
            <w:iCs/>
            <w:color w:val="0563C1"/>
            <w:sz w:val="20"/>
            <w:szCs w:val="20"/>
          </w:rPr>
          <w:t xml:space="preserve"> </w:t>
        </w:r>
        <w:r w:rsidRPr="007D3011">
          <w:rPr>
            <w:rFonts w:ascii="Arial" w:hAnsi="Arial" w:cs="Arial"/>
            <w:i/>
            <w:iCs/>
            <w:color w:val="0563C1"/>
            <w:sz w:val="20"/>
            <w:szCs w:val="20"/>
            <w:u w:val="single"/>
          </w:rPr>
          <w:t>v Romania</w:t>
        </w:r>
      </w:hyperlink>
      <w:r w:rsidRPr="007D3011">
        <w:rPr>
          <w:rFonts w:ascii="Arial" w:hAnsi="Arial" w:cs="Arial"/>
          <w:i/>
          <w:iCs/>
          <w:color w:val="0563C1"/>
          <w:sz w:val="20"/>
          <w:szCs w:val="20"/>
        </w:rPr>
        <w:t xml:space="preserve"> </w:t>
      </w:r>
      <w:r w:rsidRPr="007D3011">
        <w:rPr>
          <w:rFonts w:ascii="Arial" w:hAnsi="Arial" w:cs="Arial"/>
          <w:i/>
          <w:sz w:val="20"/>
          <w:szCs w:val="20"/>
        </w:rPr>
        <w:t>(30181/05,</w:t>
      </w:r>
      <w:r w:rsidRPr="007D3011">
        <w:rPr>
          <w:rFonts w:ascii="Arial" w:hAnsi="Arial" w:cs="Arial"/>
          <w:i/>
          <w:iCs/>
          <w:color w:val="0563C1"/>
          <w:sz w:val="20"/>
          <w:szCs w:val="20"/>
        </w:rPr>
        <w:t xml:space="preserve"> </w:t>
      </w:r>
      <w:r w:rsidRPr="007D3011">
        <w:rPr>
          <w:rFonts w:ascii="Arial" w:hAnsi="Arial" w:cs="Arial"/>
          <w:i/>
          <w:sz w:val="20"/>
          <w:szCs w:val="20"/>
        </w:rPr>
        <w:t xml:space="preserve">2015) (“ Interceptarea conversațiilor între avocat și client aduce atingere/subminează, fără îndoială, secretul profesional, care este fundamentul  relației de încredere dintre avocat și client; </w:t>
      </w:r>
      <w:hyperlink r:id="rId4" w:anchor="\\\{%22itemid%22:[%22001-57887%22]\\\}" w:history="1">
        <w:r w:rsidRPr="007D3011">
          <w:rPr>
            <w:rFonts w:ascii="Arial" w:hAnsi="Arial" w:cs="Arial"/>
            <w:i/>
            <w:iCs/>
            <w:color w:val="0563C1"/>
            <w:sz w:val="20"/>
            <w:szCs w:val="20"/>
          </w:rPr>
          <w:t xml:space="preserve"> </w:t>
        </w:r>
        <w:r w:rsidRPr="007D3011">
          <w:rPr>
            <w:rFonts w:ascii="Arial" w:hAnsi="Arial" w:cs="Arial"/>
            <w:i/>
            <w:iCs/>
            <w:color w:val="0563C1"/>
            <w:sz w:val="20"/>
            <w:szCs w:val="20"/>
            <w:u w:val="single"/>
          </w:rPr>
          <w:t>Niemietz v. Germany</w:t>
        </w:r>
      </w:hyperlink>
      <w:r w:rsidRPr="007D3011">
        <w:rPr>
          <w:rFonts w:ascii="Arial" w:hAnsi="Arial" w:cs="Arial"/>
          <w:i/>
          <w:iCs/>
          <w:color w:val="0563C1"/>
          <w:sz w:val="20"/>
          <w:szCs w:val="20"/>
        </w:rPr>
        <w:t xml:space="preserve"> </w:t>
      </w:r>
      <w:r w:rsidRPr="007D3011">
        <w:rPr>
          <w:rFonts w:ascii="Arial" w:hAnsi="Arial" w:cs="Arial"/>
          <w:i/>
          <w:sz w:val="20"/>
          <w:szCs w:val="20"/>
        </w:rPr>
        <w:t>(13710/88,</w:t>
      </w:r>
      <w:r w:rsidRPr="007D3011">
        <w:rPr>
          <w:rFonts w:ascii="Arial" w:hAnsi="Arial" w:cs="Arial"/>
          <w:i/>
          <w:iCs/>
          <w:color w:val="0563C1"/>
          <w:sz w:val="20"/>
          <w:szCs w:val="20"/>
        </w:rPr>
        <w:t xml:space="preserve"> </w:t>
      </w:r>
      <w:r w:rsidRPr="007D3011">
        <w:rPr>
          <w:rFonts w:ascii="Arial" w:hAnsi="Arial" w:cs="Arial"/>
          <w:i/>
          <w:sz w:val="20"/>
          <w:szCs w:val="20"/>
        </w:rPr>
        <w:t xml:space="preserve">1992) (...„ În cazul în care este implicat un avocat, încălcarea secretului profesional poate avea repercusiuni asupra administrării corespunzătoare a justiției/probelor și, prin urmare, asupra dreptului garantate de art. 6 din Convenție ...); </w:t>
      </w:r>
      <w:hyperlink r:id="rId5" w:anchor="\\\{%22itemid%22:[%22001-58144%22]\\\}" w:history="1">
        <w:r w:rsidRPr="007D3011">
          <w:rPr>
            <w:rFonts w:ascii="Arial" w:hAnsi="Arial" w:cs="Arial"/>
            <w:i/>
            <w:iCs/>
            <w:sz w:val="20"/>
            <w:szCs w:val="20"/>
          </w:rPr>
          <w:t xml:space="preserve"> </w:t>
        </w:r>
        <w:r w:rsidRPr="007D3011">
          <w:rPr>
            <w:rFonts w:ascii="Arial" w:hAnsi="Arial" w:cs="Arial"/>
            <w:i/>
            <w:iCs/>
            <w:color w:val="0563C1"/>
            <w:sz w:val="20"/>
            <w:szCs w:val="20"/>
            <w:u w:val="single"/>
          </w:rPr>
          <w:t>Kopp v. Switzerland</w:t>
        </w:r>
      </w:hyperlink>
      <w:r w:rsidRPr="007D3011">
        <w:rPr>
          <w:rFonts w:ascii="Arial" w:hAnsi="Arial" w:cs="Arial"/>
          <w:i/>
          <w:iCs/>
          <w:sz w:val="20"/>
          <w:szCs w:val="20"/>
          <w:u w:val="single"/>
        </w:rPr>
        <w:t xml:space="preserve"> </w:t>
      </w:r>
      <w:r w:rsidRPr="007D3011">
        <w:rPr>
          <w:rFonts w:ascii="Arial" w:hAnsi="Arial" w:cs="Arial"/>
          <w:i/>
          <w:sz w:val="20"/>
          <w:szCs w:val="20"/>
        </w:rPr>
        <w:t>(23224/94,</w:t>
      </w:r>
      <w:r w:rsidRPr="007D3011">
        <w:rPr>
          <w:rFonts w:ascii="Arial" w:hAnsi="Arial" w:cs="Arial"/>
          <w:i/>
          <w:iCs/>
          <w:sz w:val="20"/>
          <w:szCs w:val="20"/>
        </w:rPr>
        <w:t xml:space="preserve"> </w:t>
      </w:r>
      <w:r w:rsidRPr="007D3011">
        <w:rPr>
          <w:rFonts w:ascii="Arial" w:hAnsi="Arial" w:cs="Arial"/>
          <w:i/>
          <w:sz w:val="20"/>
          <w:szCs w:val="20"/>
        </w:rPr>
        <w:t xml:space="preserve">1998) ... „în această materie sensibilă a relației de confidențialitate dintre avocat și client, care privește direct dreptul la apărare”); compatibilitatea cu art. 8 a următoarelor: </w:t>
      </w:r>
      <w:r w:rsidRPr="007D3011">
        <w:rPr>
          <w:rFonts w:ascii="Arial" w:hAnsi="Arial" w:cs="Arial"/>
          <w:b/>
          <w:i/>
          <w:sz w:val="20"/>
          <w:szCs w:val="20"/>
        </w:rPr>
        <w:t>perchezițiile și confiscările efectuate la sediul sau domiciliul unui un avocat</w:t>
      </w:r>
      <w:r w:rsidRPr="007D3011">
        <w:rPr>
          <w:rFonts w:ascii="Arial" w:hAnsi="Arial" w:cs="Arial"/>
          <w:i/>
          <w:sz w:val="20"/>
          <w:szCs w:val="20"/>
        </w:rPr>
        <w:t xml:space="preserve"> (</w:t>
      </w:r>
      <w:r w:rsidRPr="007D3011">
        <w:rPr>
          <w:rFonts w:ascii="Arial" w:hAnsi="Arial" w:cs="Arial"/>
          <w:i/>
          <w:iCs/>
          <w:sz w:val="20"/>
          <w:szCs w:val="20"/>
        </w:rPr>
        <w:t>Niemietz v. Germania ; Roemen și Schmit v. Luxembourg, nr. 51772/99;</w:t>
      </w:r>
      <w:r w:rsidRPr="007D3011">
        <w:rPr>
          <w:rFonts w:ascii="Arial" w:hAnsi="Arial" w:cs="Arial"/>
          <w:i/>
          <w:sz w:val="20"/>
          <w:szCs w:val="20"/>
        </w:rPr>
        <w:t xml:space="preserve"> </w:t>
      </w:r>
      <w:r w:rsidRPr="007D3011">
        <w:rPr>
          <w:rFonts w:ascii="Arial" w:hAnsi="Arial" w:cs="Arial"/>
          <w:i/>
          <w:iCs/>
          <w:sz w:val="20"/>
          <w:szCs w:val="20"/>
        </w:rPr>
        <w:t xml:space="preserve">Sallinen și Others v. Finlanda, </w:t>
      </w:r>
      <w:proofErr w:type="gramStart"/>
      <w:r w:rsidRPr="007D3011">
        <w:rPr>
          <w:rFonts w:ascii="Arial" w:hAnsi="Arial" w:cs="Arial"/>
          <w:i/>
          <w:iCs/>
          <w:sz w:val="20"/>
          <w:szCs w:val="20"/>
        </w:rPr>
        <w:t>nr..</w:t>
      </w:r>
      <w:proofErr w:type="gramEnd"/>
      <w:r w:rsidRPr="007D3011">
        <w:rPr>
          <w:rFonts w:ascii="Arial" w:hAnsi="Arial" w:cs="Arial"/>
          <w:i/>
          <w:iCs/>
          <w:sz w:val="20"/>
          <w:szCs w:val="20"/>
        </w:rPr>
        <w:t xml:space="preserve"> 50882/99, 27 Septembrie 2005; André și Ceilalți v. Franța, 24 Iulie </w:t>
      </w:r>
      <w:proofErr w:type="gramStart"/>
      <w:r w:rsidRPr="007D3011">
        <w:rPr>
          <w:rFonts w:ascii="Arial" w:hAnsi="Arial" w:cs="Arial"/>
          <w:i/>
          <w:iCs/>
          <w:sz w:val="20"/>
          <w:szCs w:val="20"/>
        </w:rPr>
        <w:t>2008 ;</w:t>
      </w:r>
      <w:proofErr w:type="gramEnd"/>
      <w:r w:rsidRPr="007D3011">
        <w:rPr>
          <w:rFonts w:ascii="Arial" w:hAnsi="Arial" w:cs="Arial"/>
          <w:i/>
          <w:iCs/>
          <w:sz w:val="20"/>
          <w:szCs w:val="20"/>
        </w:rPr>
        <w:t xml:space="preserve"> Xavier Da Silveira v. Franța, 21 Ianuarie 2010), </w:t>
      </w:r>
      <w:r w:rsidRPr="007D3011">
        <w:rPr>
          <w:rFonts w:ascii="Arial" w:hAnsi="Arial" w:cs="Arial"/>
          <w:b/>
          <w:i/>
          <w:sz w:val="20"/>
          <w:szCs w:val="20"/>
        </w:rPr>
        <w:t>perchezițiile și confiscările datelor electronice la sediul avocatului</w:t>
      </w:r>
      <w:r w:rsidRPr="007D3011">
        <w:rPr>
          <w:rFonts w:ascii="Arial" w:hAnsi="Arial" w:cs="Arial"/>
          <w:i/>
          <w:sz w:val="20"/>
          <w:szCs w:val="20"/>
        </w:rPr>
        <w:t xml:space="preserve"> (</w:t>
      </w:r>
      <w:r w:rsidRPr="007D3011">
        <w:rPr>
          <w:rFonts w:ascii="Arial" w:hAnsi="Arial" w:cs="Arial"/>
          <w:i/>
          <w:iCs/>
          <w:sz w:val="20"/>
          <w:szCs w:val="20"/>
        </w:rPr>
        <w:t xml:space="preserve">Sallinen și Ceilalți, Wieser și Bicos Beteiligungen GmbH v. Austria, 16 Octombrie 2007, și Robathin v. Austria, nr. 30457/06, 3 Iulie 2012; </w:t>
      </w:r>
      <w:r w:rsidRPr="007D3011">
        <w:rPr>
          <w:rFonts w:ascii="Arial" w:hAnsi="Arial" w:cs="Arial"/>
          <w:b/>
          <w:i/>
          <w:iCs/>
          <w:sz w:val="20"/>
          <w:szCs w:val="20"/>
        </w:rPr>
        <w:t>interceptarea corespondenței dintre avocat și client</w:t>
      </w:r>
      <w:r w:rsidRPr="007D3011">
        <w:rPr>
          <w:rFonts w:ascii="Arial" w:hAnsi="Arial" w:cs="Arial"/>
          <w:i/>
          <w:iCs/>
          <w:sz w:val="20"/>
          <w:szCs w:val="20"/>
        </w:rPr>
        <w:t xml:space="preserve"> (Schönenberger și Durmaz v. Elveția, 20 Iunie 1988, Seria A nr. 137);</w:t>
      </w:r>
      <w:r w:rsidRPr="007D3011">
        <w:rPr>
          <w:rFonts w:ascii="Arial" w:hAnsi="Arial" w:cs="Arial"/>
          <w:b/>
          <w:i/>
          <w:iCs/>
          <w:sz w:val="20"/>
          <w:szCs w:val="20"/>
        </w:rPr>
        <w:t xml:space="preserve"> ascultarea telefonului unui avocat</w:t>
      </w:r>
      <w:r w:rsidRPr="007D3011">
        <w:rPr>
          <w:rFonts w:ascii="Arial" w:hAnsi="Arial" w:cs="Arial"/>
          <w:i/>
          <w:iCs/>
          <w:sz w:val="20"/>
          <w:szCs w:val="20"/>
        </w:rPr>
        <w:t xml:space="preserve"> (Kopp v. Elveția</w:t>
      </w:r>
      <w:r w:rsidRPr="007D3011">
        <w:rPr>
          <w:rFonts w:ascii="Arial" w:hAnsi="Arial" w:cs="Arial"/>
          <w:i/>
          <w:sz w:val="20"/>
          <w:szCs w:val="20"/>
        </w:rPr>
        <w:t>, 25 Martie</w:t>
      </w:r>
      <w:r w:rsidRPr="007D3011">
        <w:rPr>
          <w:rFonts w:ascii="Arial" w:hAnsi="Arial" w:cs="Arial"/>
          <w:i/>
          <w:iCs/>
          <w:sz w:val="20"/>
          <w:szCs w:val="20"/>
        </w:rPr>
        <w:t xml:space="preserve"> </w:t>
      </w:r>
      <w:r w:rsidRPr="007D3011">
        <w:rPr>
          <w:rFonts w:ascii="Arial" w:hAnsi="Arial" w:cs="Arial"/>
          <w:i/>
          <w:sz w:val="20"/>
          <w:szCs w:val="20"/>
        </w:rPr>
        <w:t xml:space="preserve">1998), </w:t>
      </w:r>
      <w:r w:rsidRPr="007D3011">
        <w:rPr>
          <w:rFonts w:ascii="Arial" w:hAnsi="Arial" w:cs="Arial"/>
          <w:b/>
          <w:i/>
          <w:sz w:val="20"/>
          <w:szCs w:val="20"/>
        </w:rPr>
        <w:t>obligația avocaților de a raporta suspiciunile în materia spălării banilor</w:t>
      </w:r>
      <w:r w:rsidRPr="007D3011">
        <w:rPr>
          <w:rFonts w:ascii="Arial" w:hAnsi="Arial" w:cs="Arial"/>
          <w:i/>
          <w:sz w:val="20"/>
          <w:szCs w:val="20"/>
        </w:rPr>
        <w:t xml:space="preserve"> </w:t>
      </w:r>
      <w:r w:rsidRPr="007D3011">
        <w:rPr>
          <w:rFonts w:ascii="Arial" w:hAnsi="Arial" w:cs="Arial"/>
          <w:i/>
          <w:iCs/>
          <w:sz w:val="20"/>
          <w:szCs w:val="20"/>
        </w:rPr>
        <w:t>(Michaud v. France)</w:t>
      </w:r>
      <w:r w:rsidRPr="007D3011">
        <w:rPr>
          <w:rFonts w:ascii="Arial" w:hAnsi="Arial" w:cs="Arial"/>
          <w:i/>
          <w:sz w:val="20"/>
          <w:szCs w:val="20"/>
        </w:rPr>
        <w:t xml:space="preserve">; </w:t>
      </w:r>
      <w:r w:rsidRPr="007D3011">
        <w:rPr>
          <w:rFonts w:ascii="Arial" w:hAnsi="Arial" w:cs="Arial"/>
          <w:b/>
          <w:i/>
          <w:sz w:val="20"/>
          <w:szCs w:val="20"/>
        </w:rPr>
        <w:t>perchezițiile și confiscările corespondenței dintre avocat și client, la sediul clientului (persoană juridică/companie) de către autoritatea națională în domeniul concurenței</w:t>
      </w:r>
      <w:r w:rsidRPr="007D3011">
        <w:rPr>
          <w:rFonts w:ascii="Arial" w:hAnsi="Arial" w:cs="Arial"/>
          <w:i/>
          <w:sz w:val="20"/>
          <w:szCs w:val="20"/>
        </w:rPr>
        <w:t xml:space="preserve"> (</w:t>
      </w:r>
      <w:hyperlink r:id="rId6" w:anchor="\\\\\\\\\\\\\\\\\\\\\\\\\\\\\\\\\\\\\\\\\\\\\\\\\\\\\\\\\\\\\\\\\\\\\\\\\\\\\\\\\\\\\\\\\\\\\\\\\\\\\\\\\\\\\\\\\\\\\\\\\\\\\\\\\\\\\\\\\\\\\\\\\\\\\\\\\\\\\\\\\\\\\\\\\\\\\\\\\\\\\\\\\\\\\\\\\\\\\\\\\\\\\\\\\\\\\\\\\\\\\\\\\\\\\\\\\\\\\\\\\\\\\\\\\\\\\\\" w:history="1">
        <w:r w:rsidRPr="007D3011">
          <w:rPr>
            <w:rFonts w:ascii="Arial" w:hAnsi="Arial" w:cs="Arial"/>
            <w:i/>
            <w:iCs/>
            <w:color w:val="0563C1"/>
            <w:sz w:val="20"/>
            <w:szCs w:val="20"/>
            <w:u w:val="single"/>
          </w:rPr>
          <w:t>Vinci Construction și GMT genie civil and services v. Franța</w:t>
        </w:r>
      </w:hyperlink>
      <w:r w:rsidRPr="007D3011">
        <w:rPr>
          <w:rFonts w:ascii="Arial" w:hAnsi="Arial" w:cs="Arial"/>
          <w:i/>
          <w:iCs/>
          <w:sz w:val="20"/>
          <w:szCs w:val="20"/>
        </w:rPr>
        <w:t>,</w:t>
      </w:r>
      <w:r w:rsidRPr="007D3011">
        <w:rPr>
          <w:rFonts w:ascii="Arial" w:hAnsi="Arial" w:cs="Arial"/>
          <w:i/>
          <w:sz w:val="20"/>
          <w:szCs w:val="20"/>
        </w:rPr>
        <w:t xml:space="preserve"> și. 63629/10 și 60567/10, 2 Aprilie 2015; </w:t>
      </w:r>
      <w:r w:rsidRPr="007D3011">
        <w:rPr>
          <w:rFonts w:ascii="Arial" w:hAnsi="Arial" w:cs="Arial"/>
          <w:b/>
          <w:i/>
          <w:sz w:val="20"/>
          <w:szCs w:val="20"/>
        </w:rPr>
        <w:t>accesul la contul bancar al unui avocat</w:t>
      </w:r>
      <w:r w:rsidRPr="007D3011">
        <w:rPr>
          <w:rFonts w:ascii="Arial" w:hAnsi="Arial" w:cs="Arial"/>
          <w:i/>
          <w:sz w:val="20"/>
          <w:szCs w:val="20"/>
        </w:rPr>
        <w:t xml:space="preserve"> </w:t>
      </w:r>
      <w:r w:rsidRPr="007D3011">
        <w:rPr>
          <w:rFonts w:ascii="Arial" w:hAnsi="Arial" w:cs="Arial"/>
          <w:i/>
          <w:iCs/>
          <w:sz w:val="20"/>
          <w:szCs w:val="20"/>
        </w:rPr>
        <w:t>(Brito Ferrinho Bexiga Villa-Nova v. Portugalia, nr.</w:t>
      </w:r>
      <w:r w:rsidRPr="007D3011">
        <w:rPr>
          <w:rFonts w:ascii="Arial" w:hAnsi="Arial" w:cs="Arial"/>
          <w:i/>
          <w:sz w:val="20"/>
          <w:szCs w:val="20"/>
        </w:rPr>
        <w:t xml:space="preserve"> </w:t>
      </w:r>
      <w:r w:rsidRPr="007D3011">
        <w:rPr>
          <w:rFonts w:ascii="Arial" w:hAnsi="Arial" w:cs="Arial"/>
          <w:i/>
          <w:iCs/>
          <w:sz w:val="20"/>
          <w:szCs w:val="20"/>
        </w:rPr>
        <w:t>69436/10, 1 Decembrie 2015).</w:t>
      </w:r>
    </w:p>
  </w:footnote>
  <w:footnote w:id="6">
    <w:p w:rsidR="007D3011" w:rsidRPr="007D3011" w:rsidRDefault="007D3011" w:rsidP="007D3011">
      <w:pPr>
        <w:jc w:val="both"/>
        <w:rPr>
          <w:lang w:val="ro-RO"/>
        </w:rPr>
      </w:pPr>
      <w:r w:rsidRPr="007D3011">
        <w:rPr>
          <w:rStyle w:val="Referinnotdesubsol"/>
          <w:rFonts w:ascii="Arial" w:hAnsi="Arial" w:cs="Arial"/>
          <w:i/>
          <w:sz w:val="20"/>
          <w:szCs w:val="20"/>
        </w:rPr>
        <w:footnoteRef/>
      </w:r>
      <w:r w:rsidRPr="007D3011">
        <w:rPr>
          <w:rFonts w:ascii="Arial" w:hAnsi="Arial" w:cs="Arial"/>
          <w:i/>
          <w:sz w:val="20"/>
          <w:szCs w:val="20"/>
        </w:rPr>
        <w:t xml:space="preserve"> În cazul </w:t>
      </w:r>
      <w:hyperlink r:id="rId7" w:history="1">
        <w:r w:rsidRPr="007D3011">
          <w:rPr>
            <w:rFonts w:ascii="Arial" w:hAnsi="Arial" w:cs="Arial"/>
            <w:i/>
            <w:sz w:val="20"/>
            <w:szCs w:val="20"/>
          </w:rPr>
          <w:t xml:space="preserve"> </w:t>
        </w:r>
        <w:r w:rsidRPr="007D3011">
          <w:rPr>
            <w:rFonts w:ascii="Arial" w:hAnsi="Arial" w:cs="Arial"/>
            <w:i/>
            <w:iCs/>
            <w:color w:val="0563C1"/>
            <w:sz w:val="20"/>
            <w:szCs w:val="20"/>
            <w:u w:val="single"/>
          </w:rPr>
          <w:t>AM &amp; S v Commission</w:t>
        </w:r>
      </w:hyperlink>
      <w:r w:rsidRPr="007D3011">
        <w:rPr>
          <w:rFonts w:ascii="Arial" w:hAnsi="Arial" w:cs="Arial"/>
          <w:i/>
          <w:sz w:val="20"/>
          <w:szCs w:val="20"/>
          <w:u w:val="single"/>
        </w:rPr>
        <w:t xml:space="preserve"> </w:t>
      </w:r>
      <w:r w:rsidRPr="007D3011">
        <w:rPr>
          <w:rFonts w:ascii="Arial" w:hAnsi="Arial" w:cs="Arial"/>
          <w:i/>
          <w:sz w:val="20"/>
          <w:szCs w:val="20"/>
        </w:rPr>
        <w:t xml:space="preserve">(155/79, 1982), CJUE a recunoscut că păstrarea confidențialității în ce privește comunicarea dintre avocat și client constituie un principiu general recunoscut în toate legislațiile (sistemele de drept) Statelor Membre și, prin urmare, un drept fundamental recunoscut de către dreptul comunicat/legislația UE. Curtea a reținut că „Orice persoană trebuie, fără restrângeri, să aibă dreptul de a consulta un avocat, a cărui profesie are ca scop acordarea de consultanță juridică independentă către cei care au nevoie” și, ca </w:t>
      </w:r>
      <w:proofErr w:type="gramStart"/>
      <w:r w:rsidRPr="007D3011">
        <w:rPr>
          <w:rFonts w:ascii="Arial" w:hAnsi="Arial" w:cs="Arial"/>
          <w:i/>
          <w:sz w:val="20"/>
          <w:szCs w:val="20"/>
        </w:rPr>
        <w:t>urmare  confidențialitatea</w:t>
      </w:r>
      <w:proofErr w:type="gramEnd"/>
      <w:r w:rsidRPr="007D3011">
        <w:rPr>
          <w:rFonts w:ascii="Arial" w:hAnsi="Arial" w:cs="Arial"/>
          <w:i/>
          <w:sz w:val="20"/>
          <w:szCs w:val="20"/>
        </w:rPr>
        <w:t xml:space="preserve"> relației avocat client trebuie să fie reglementată și protejată. A se vedea și CJEU, Concluziile Advocate General Léger, </w:t>
      </w:r>
      <w:hyperlink r:id="rId8" w:history="1">
        <w:r w:rsidRPr="007D3011">
          <w:rPr>
            <w:rFonts w:ascii="Arial" w:hAnsi="Arial" w:cs="Arial"/>
            <w:i/>
            <w:sz w:val="20"/>
            <w:szCs w:val="20"/>
          </w:rPr>
          <w:t xml:space="preserve"> </w:t>
        </w:r>
        <w:r w:rsidRPr="007D3011">
          <w:rPr>
            <w:rFonts w:ascii="Arial" w:hAnsi="Arial" w:cs="Arial"/>
            <w:i/>
            <w:iCs/>
            <w:color w:val="0563C1"/>
            <w:sz w:val="20"/>
            <w:szCs w:val="20"/>
            <w:u w:val="single"/>
          </w:rPr>
          <w:t>J.C.J. Wouters, J.W. Savelbergh, Pric</w:t>
        </w:r>
      </w:hyperlink>
      <w:r w:rsidRPr="007D3011">
        <w:rPr>
          <w:rFonts w:ascii="Arial" w:hAnsi="Arial" w:cs="Arial"/>
          <w:i/>
          <w:iCs/>
          <w:color w:val="0563C1"/>
          <w:sz w:val="20"/>
          <w:szCs w:val="20"/>
          <w:u w:val="single"/>
        </w:rPr>
        <w:t>e</w:t>
      </w:r>
      <w:r w:rsidRPr="007D3011">
        <w:rPr>
          <w:rFonts w:ascii="Arial" w:hAnsi="Arial" w:cs="Arial"/>
          <w:i/>
          <w:sz w:val="20"/>
          <w:szCs w:val="20"/>
        </w:rPr>
        <w:t xml:space="preserve"> </w:t>
      </w:r>
      <w:hyperlink r:id="rId9" w:history="1">
        <w:r w:rsidRPr="007D3011">
          <w:rPr>
            <w:rFonts w:ascii="Arial" w:hAnsi="Arial" w:cs="Arial"/>
            <w:i/>
            <w:iCs/>
            <w:color w:val="0563C1"/>
            <w:sz w:val="20"/>
            <w:szCs w:val="20"/>
          </w:rPr>
          <w:t xml:space="preserve"> </w:t>
        </w:r>
        <w:r w:rsidRPr="007D3011">
          <w:rPr>
            <w:rFonts w:ascii="Arial" w:hAnsi="Arial" w:cs="Arial"/>
            <w:i/>
            <w:iCs/>
            <w:color w:val="0563C1"/>
            <w:sz w:val="20"/>
            <w:szCs w:val="20"/>
            <w:u w:val="single"/>
          </w:rPr>
          <w:t>Waterhouse Belastingadviseurs BV v. Germania Raad van de Nederlandse Orde van Advocate</w:t>
        </w:r>
      </w:hyperlink>
      <w:r w:rsidRPr="007D3011">
        <w:rPr>
          <w:rFonts w:ascii="Arial" w:hAnsi="Arial" w:cs="Arial"/>
          <w:i/>
          <w:iCs/>
          <w:color w:val="0563C1"/>
          <w:sz w:val="20"/>
          <w:szCs w:val="20"/>
          <w:u w:val="single"/>
        </w:rPr>
        <w:t>n</w:t>
      </w:r>
      <w:r w:rsidRPr="007D3011">
        <w:rPr>
          <w:rFonts w:ascii="Arial" w:hAnsi="Arial" w:cs="Arial"/>
          <w:i/>
          <w:iCs/>
          <w:sz w:val="20"/>
          <w:szCs w:val="20"/>
        </w:rPr>
        <w:t>,</w:t>
      </w:r>
      <w:r w:rsidRPr="007D3011">
        <w:rPr>
          <w:rFonts w:ascii="Arial" w:hAnsi="Arial" w:cs="Arial"/>
          <w:i/>
          <w:iCs/>
          <w:color w:val="0563C1"/>
          <w:sz w:val="20"/>
          <w:szCs w:val="20"/>
        </w:rPr>
        <w:t xml:space="preserve"> </w:t>
      </w:r>
      <w:r w:rsidRPr="007D3011">
        <w:rPr>
          <w:rFonts w:ascii="Arial" w:hAnsi="Arial" w:cs="Arial"/>
          <w:i/>
          <w:sz w:val="20"/>
          <w:szCs w:val="20"/>
        </w:rPr>
        <w:t>in Cazul C-309/99, 10 iulie 2001, §182 și CJUE Concluziile avocatului general Poiares Maduro din Ordinul Barourilor francofone</w:t>
      </w:r>
      <w:r w:rsidRPr="007D3011">
        <w:rPr>
          <w:rFonts w:ascii="Arial" w:hAnsi="Arial" w:cs="Arial"/>
          <w:sz w:val="20"/>
          <w:szCs w:val="20"/>
        </w:rPr>
        <w:t>, germanofone  și altele versus Consiliul de miniştrii, în cauza C-305/05, §42-44, 14 decembrie 2006.</w:t>
      </w:r>
    </w:p>
  </w:footnote>
  <w:footnote w:id="7">
    <w:p w:rsidR="007D3011" w:rsidRPr="007D3011" w:rsidRDefault="007D3011" w:rsidP="009C599F">
      <w:pPr>
        <w:jc w:val="both"/>
        <w:rPr>
          <w:lang w:val="ro-RO"/>
        </w:rPr>
      </w:pPr>
      <w:r w:rsidRPr="007D3011">
        <w:rPr>
          <w:rStyle w:val="Referinnotdesubsol"/>
          <w:rFonts w:ascii="Arial" w:hAnsi="Arial" w:cs="Arial"/>
          <w:i/>
          <w:sz w:val="20"/>
          <w:szCs w:val="20"/>
        </w:rPr>
        <w:footnoteRef/>
      </w:r>
      <w:r w:rsidRPr="007D3011">
        <w:rPr>
          <w:rFonts w:ascii="Arial" w:hAnsi="Arial" w:cs="Arial"/>
          <w:i/>
          <w:sz w:val="20"/>
          <w:szCs w:val="20"/>
        </w:rPr>
        <w:t xml:space="preserve"> CEDO, Michaud v. Franța (12323/11), 2012, §118.</w:t>
      </w:r>
    </w:p>
  </w:footnote>
  <w:footnote w:id="8">
    <w:p w:rsidR="007D3011" w:rsidRDefault="007D3011">
      <w:pPr>
        <w:pStyle w:val="Textnotdesubsol"/>
        <w:rPr>
          <w:rFonts w:ascii="Arial" w:hAnsi="Arial" w:cs="Arial"/>
          <w:i/>
        </w:rPr>
      </w:pPr>
      <w:r>
        <w:rPr>
          <w:rStyle w:val="Referinnotdesubsol"/>
        </w:rPr>
        <w:footnoteRef/>
      </w:r>
      <w:r>
        <w:t xml:space="preserve"> </w:t>
      </w:r>
      <w:r w:rsidRPr="007D3011">
        <w:rPr>
          <w:rFonts w:ascii="Arial" w:hAnsi="Arial" w:cs="Arial"/>
          <w:i/>
        </w:rPr>
        <w:t xml:space="preserve">Recomandarea Consiliului Europei, nr R (2000) </w:t>
      </w:r>
      <w:smartTag w:uri="urn:schemas-microsoft-com:office:smarttags" w:element="metricconverter">
        <w:smartTagPr>
          <w:attr w:name="ProductID" w:val="21 a"/>
        </w:smartTagPr>
        <w:r w:rsidRPr="007D3011">
          <w:rPr>
            <w:rFonts w:ascii="Arial" w:hAnsi="Arial" w:cs="Arial"/>
            <w:i/>
          </w:rPr>
          <w:t>21 a</w:t>
        </w:r>
      </w:smartTag>
      <w:r w:rsidRPr="007D3011">
        <w:rPr>
          <w:rFonts w:ascii="Arial" w:hAnsi="Arial" w:cs="Arial"/>
          <w:i/>
        </w:rPr>
        <w:t xml:space="preserve"> Comitetului de Miniştri către statele membre asupra libertăţii de exercitare a profesiei de avocat, 25 octombrie 2000, §6.</w:t>
      </w:r>
    </w:p>
    <w:p w:rsidR="0087110B" w:rsidRPr="007D3011" w:rsidRDefault="0087110B">
      <w:pPr>
        <w:pStyle w:val="Textnotdesubsol"/>
        <w:rPr>
          <w:lang w:val="ro-RO"/>
        </w:rPr>
      </w:pPr>
    </w:p>
  </w:footnote>
  <w:footnote w:id="9">
    <w:p w:rsidR="0087110B" w:rsidRDefault="0087110B">
      <w:pPr>
        <w:pStyle w:val="Textnotdesubsol"/>
        <w:rPr>
          <w:rFonts w:ascii="Arial" w:hAnsi="Arial" w:cs="Arial"/>
          <w:i/>
        </w:rPr>
      </w:pPr>
      <w:r w:rsidRPr="0047186B">
        <w:rPr>
          <w:rStyle w:val="Referinnotdesubsol"/>
          <w:rFonts w:ascii="Arial" w:hAnsi="Arial" w:cs="Arial"/>
        </w:rPr>
        <w:footnoteRef/>
      </w:r>
      <w:r w:rsidRPr="0087110B">
        <w:rPr>
          <w:rFonts w:ascii="Arial" w:hAnsi="Arial" w:cs="Arial"/>
          <w:i/>
        </w:rPr>
        <w:t xml:space="preserve"> Rezoluţia </w:t>
      </w:r>
      <w:proofErr w:type="gramStart"/>
      <w:r w:rsidRPr="0087110B">
        <w:rPr>
          <w:rFonts w:ascii="Arial" w:hAnsi="Arial" w:cs="Arial"/>
          <w:i/>
        </w:rPr>
        <w:t>2045  a</w:t>
      </w:r>
      <w:proofErr w:type="gramEnd"/>
      <w:r w:rsidRPr="0087110B">
        <w:rPr>
          <w:rFonts w:ascii="Arial" w:hAnsi="Arial" w:cs="Arial"/>
          <w:i/>
        </w:rPr>
        <w:t xml:space="preserve"> Adunării Parlamentare a Consiliului Europei, 21 luna aprilie 2015, §4</w:t>
      </w:r>
      <w:r w:rsidR="0047186B">
        <w:rPr>
          <w:rFonts w:ascii="Arial" w:hAnsi="Arial" w:cs="Arial"/>
          <w:i/>
        </w:rPr>
        <w:t>.</w:t>
      </w:r>
    </w:p>
    <w:p w:rsidR="0047186B" w:rsidRPr="0087110B" w:rsidRDefault="0047186B">
      <w:pPr>
        <w:pStyle w:val="Textnotdesubsol"/>
        <w:rPr>
          <w:rFonts w:ascii="Arial" w:hAnsi="Arial" w:cs="Arial"/>
          <w:i/>
          <w:lang w:val="ro-RO"/>
        </w:rPr>
      </w:pPr>
    </w:p>
  </w:footnote>
  <w:footnote w:id="10">
    <w:p w:rsidR="0047186B" w:rsidRDefault="0047186B">
      <w:pPr>
        <w:pStyle w:val="Textnotdesubsol"/>
        <w:rPr>
          <w:rFonts w:ascii="Arial" w:hAnsi="Arial" w:cs="Arial"/>
          <w:i/>
        </w:rPr>
      </w:pPr>
      <w:r w:rsidRPr="0047186B">
        <w:rPr>
          <w:rStyle w:val="Referinnotdesubsol"/>
          <w:rFonts w:ascii="Arial" w:hAnsi="Arial" w:cs="Arial"/>
        </w:rPr>
        <w:footnoteRef/>
      </w:r>
      <w:r w:rsidRPr="0047186B">
        <w:rPr>
          <w:rFonts w:ascii="Arial" w:hAnsi="Arial" w:cs="Arial"/>
          <w:i/>
        </w:rPr>
        <w:t xml:space="preserve"> Actualizarea din </w:t>
      </w:r>
      <w:smartTag w:uri="urn:schemas-microsoft-com:office:smarttags" w:element="metricconverter">
        <w:smartTagPr>
          <w:attr w:name="ProductID" w:val="2015 a"/>
        </w:smartTagPr>
        <w:r w:rsidRPr="0047186B">
          <w:rPr>
            <w:rFonts w:ascii="Arial" w:hAnsi="Arial" w:cs="Arial"/>
            <w:i/>
          </w:rPr>
          <w:t>2015 a</w:t>
        </w:r>
      </w:smartTag>
      <w:r w:rsidRPr="0047186B">
        <w:rPr>
          <w:rFonts w:ascii="Arial" w:hAnsi="Arial" w:cs="Arial"/>
          <w:i/>
        </w:rPr>
        <w:t xml:space="preserve"> Raportului Comisiei a Consiliului Europei de la Veneţia privind "Controlul democratic al serviciilor de securitate și Raportul privind controlul democratic al semnalelor Serviciile de informaţii, §18.</w:t>
      </w:r>
    </w:p>
    <w:p w:rsidR="00540E72" w:rsidRPr="0047186B" w:rsidRDefault="00540E72">
      <w:pPr>
        <w:pStyle w:val="Textnotdesubsol"/>
        <w:rPr>
          <w:rFonts w:ascii="Arial" w:hAnsi="Arial" w:cs="Arial"/>
          <w:i/>
          <w:lang w:val="ro-RO"/>
        </w:rPr>
      </w:pPr>
    </w:p>
  </w:footnote>
  <w:footnote w:id="11">
    <w:p w:rsidR="00540E72" w:rsidRDefault="00540E72">
      <w:pPr>
        <w:pStyle w:val="Textnotdesubsol"/>
        <w:rPr>
          <w:rFonts w:ascii="Arial" w:hAnsi="Arial" w:cs="Arial"/>
        </w:rPr>
      </w:pPr>
      <w:r>
        <w:rPr>
          <w:rStyle w:val="Referinnotdesubsol"/>
        </w:rPr>
        <w:footnoteRef/>
      </w:r>
      <w:r>
        <w:t xml:space="preserve"> </w:t>
      </w:r>
      <w:r w:rsidRPr="00540E72">
        <w:rPr>
          <w:rFonts w:ascii="Arial" w:hAnsi="Arial" w:cs="Arial"/>
          <w:i/>
        </w:rPr>
        <w:t>Comisarul Consiliului Europei pentru drepturile omului, să emită Cartea privind "Controlul democratic şi eficace a serviciilor de securitate naţională", 2015, p. 27</w:t>
      </w:r>
      <w:r w:rsidRPr="00E60FAA">
        <w:rPr>
          <w:rFonts w:ascii="Arial" w:hAnsi="Arial" w:cs="Arial"/>
        </w:rPr>
        <w:t>.</w:t>
      </w:r>
    </w:p>
    <w:p w:rsidR="00C61796" w:rsidRPr="00540E72" w:rsidRDefault="00C61796">
      <w:pPr>
        <w:pStyle w:val="Textnotdesubsol"/>
        <w:rPr>
          <w:lang w:val="ro-RO"/>
        </w:rPr>
      </w:pPr>
    </w:p>
  </w:footnote>
  <w:footnote w:id="12">
    <w:p w:rsidR="00C61796" w:rsidRDefault="00C61796">
      <w:pPr>
        <w:pStyle w:val="Textnotdesubsol"/>
        <w:rPr>
          <w:rFonts w:ascii="Arial" w:hAnsi="Arial" w:cs="Arial"/>
          <w:i/>
        </w:rPr>
      </w:pPr>
      <w:r>
        <w:rPr>
          <w:rStyle w:val="Referinnotdesubsol"/>
        </w:rPr>
        <w:footnoteRef/>
      </w:r>
      <w:r>
        <w:t xml:space="preserve"> </w:t>
      </w:r>
      <w:r w:rsidRPr="00C61796">
        <w:rPr>
          <w:rFonts w:ascii="Arial" w:hAnsi="Arial" w:cs="Arial"/>
          <w:i/>
        </w:rPr>
        <w:t>Parlamentul European, Rezoluţia Parlamentului European privind programul de supraveghere din SUA ANS, referitor la organismele de supraveghere din diferite state membre și impactul acestora asupra drepturilor fundamentale ale cetăţenilor UE şi cooperarea transatlantică în justiţie şi afaceri interne, din 12 martie 2014, §11.</w:t>
      </w:r>
    </w:p>
    <w:p w:rsidR="00FE5ED2" w:rsidRPr="00C61796" w:rsidRDefault="00FE5ED2">
      <w:pPr>
        <w:pStyle w:val="Textnotdesubsol"/>
        <w:rPr>
          <w:lang w:val="ro-RO"/>
        </w:rPr>
      </w:pPr>
    </w:p>
  </w:footnote>
  <w:footnote w:id="13">
    <w:p w:rsidR="00FE5ED2" w:rsidRPr="00FE5ED2" w:rsidRDefault="00FE5ED2" w:rsidP="0074621D">
      <w:pPr>
        <w:jc w:val="both"/>
        <w:rPr>
          <w:lang w:val="ro-RO"/>
        </w:rPr>
      </w:pPr>
      <w:r>
        <w:rPr>
          <w:rStyle w:val="Referinnotdesubsol"/>
        </w:rPr>
        <w:footnoteRef/>
      </w:r>
      <w:r>
        <w:t xml:space="preserve"> </w:t>
      </w:r>
      <w:r w:rsidRPr="00FE5ED2">
        <w:rPr>
          <w:rFonts w:ascii="Arial" w:hAnsi="Arial" w:cs="Arial"/>
          <w:i/>
          <w:sz w:val="20"/>
          <w:szCs w:val="20"/>
        </w:rPr>
        <w:t>De asemenea, a se vedea: Rezoluţia Parlamentului European, privind "follow-up la Rezoluţia Parlamentului European din 12 martie 2014 supravegherea în masă pe cale electronică a cetăţenilor UE care au declarat că" supravegherea în masă subminează grav drepturile cetăţenilor UE de a fi protejaţi împotriva oricărei supravegheri a comunicaţiilor confidenţiale cu avocaţii lor ", din 29 octombrie 2015, §43</w:t>
      </w:r>
      <w:r w:rsidRPr="001D40E3">
        <w:rPr>
          <w:rFonts w:ascii="Arial" w:hAnsi="Arial" w:cs="Arial"/>
          <w:sz w:val="20"/>
          <w:szCs w:val="20"/>
        </w:rPr>
        <w:t>.</w:t>
      </w:r>
    </w:p>
  </w:footnote>
  <w:footnote w:id="14">
    <w:p w:rsidR="0074621D" w:rsidRDefault="0074621D">
      <w:pPr>
        <w:pStyle w:val="Textnotdesubsol"/>
        <w:rPr>
          <w:rFonts w:ascii="Arial" w:hAnsi="Arial" w:cs="Arial"/>
          <w:i/>
        </w:rPr>
      </w:pPr>
      <w:r>
        <w:rPr>
          <w:rStyle w:val="Referinnotdesubsol"/>
        </w:rPr>
        <w:footnoteRef/>
      </w:r>
      <w:r>
        <w:t xml:space="preserve"> </w:t>
      </w:r>
      <w:r w:rsidRPr="0074621D">
        <w:rPr>
          <w:rFonts w:ascii="Arial" w:hAnsi="Arial" w:cs="Arial"/>
          <w:i/>
        </w:rPr>
        <w:t>Consiliul Barourilor şi Societăţilor Legale din Europa, Recomandări privind protecţia confidenţialităţii clientului în cadrul activităţilor de supraveghere, din 28 aprilie 2016.</w:t>
      </w:r>
    </w:p>
    <w:p w:rsidR="0048000A" w:rsidRPr="0074621D" w:rsidRDefault="0048000A">
      <w:pPr>
        <w:pStyle w:val="Textnotdesubsol"/>
        <w:rPr>
          <w:lang w:val="ro-RO"/>
        </w:rPr>
      </w:pPr>
    </w:p>
  </w:footnote>
  <w:footnote w:id="15">
    <w:p w:rsidR="0048000A" w:rsidRPr="0048000A" w:rsidRDefault="0048000A" w:rsidP="0048000A">
      <w:pPr>
        <w:pStyle w:val="Textnotdesubsol"/>
        <w:jc w:val="both"/>
        <w:rPr>
          <w:lang w:val="ro-RO"/>
        </w:rPr>
      </w:pPr>
      <w:r>
        <w:rPr>
          <w:rStyle w:val="Referinnotdesubsol"/>
        </w:rPr>
        <w:footnoteRef/>
      </w:r>
      <w:r>
        <w:t xml:space="preserve"> </w:t>
      </w:r>
      <w:r w:rsidRPr="0048000A">
        <w:rPr>
          <w:rFonts w:ascii="Arial" w:hAnsi="Arial" w:cs="Arial"/>
          <w:i/>
        </w:rPr>
        <w:t>De exemplu, Parlamentul European (Rezoluţia privind programul de supraveghere din SUA ANS, organismele de supraveghere din diferite state membre şi impactul acestora asupra drepturilor fundamentale ale cetăţenilor UE şi cu privire la cooperarea transatlantică în justiţie şi afaceri interne, 12 martie 2014, §132), European drepturile digitale (EDRi), Fédération des Barreaux d'Europe (păstrarea datelor și a secretului profesional, adoptat de Congresul FEB la Bilbao mai 2015).</w:t>
      </w:r>
    </w:p>
  </w:footnote>
  <w:footnote w:id="16">
    <w:p w:rsidR="003A7944" w:rsidRPr="003A7944" w:rsidRDefault="003A7944" w:rsidP="003A7944">
      <w:pPr>
        <w:pStyle w:val="Textnotdesubsol"/>
        <w:jc w:val="both"/>
        <w:rPr>
          <w:lang w:val="ro-RO"/>
        </w:rPr>
      </w:pPr>
      <w:r>
        <w:rPr>
          <w:rStyle w:val="Referinnotdesubsol"/>
        </w:rPr>
        <w:footnoteRef/>
      </w:r>
      <w:r>
        <w:t xml:space="preserve"> </w:t>
      </w:r>
      <w:r w:rsidRPr="003A7944">
        <w:rPr>
          <w:rFonts w:ascii="Arial" w:hAnsi="Arial" w:cs="Arial"/>
          <w:i/>
        </w:rPr>
        <w:t>Utilizarea serviciilor de comunicaţii electronice sau de alte servicii cloud de către avocaţi ar trebui să fie protejate în acelaşi mod, indiferent dacă conţinutul este stocat într-un centru de date, sau într-un computer de la biroul avocatului sau asupra persoanei sale. Conţinut ce deţine informaţii secrete sau privilegiate din punct de vedere profesional, şi care este procesat de către un serviciu de comunicaţii electronice sau de un furnizor de servicii de cloud (inclusiv un furnizor de servicii de e-mail), nu ar trebui să fie accesibile agenţiilor guvernamentale. Serviciile de comunicaţii electronice şi furnizorii de servicii cloud ar trebui să fie obligaţi să ofere avocaţilor o opţiune care să indice astfel de informaţii - desigur, numai după verificare atentă dacă acel utilizator este într-adevăr, avocat asa cum se pretinde. De exemplu, în Olanda există un număr de telefon cu sistem de recunoaştere, care este capabil să identifice numerele de telefon ale avocaţilor și să întrerupă supravegherea.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6210"/>
        </w:tabs>
        <w:ind w:left="621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99"/>
    <w:multiLevelType w:val="hybridMultilevel"/>
    <w:tmpl w:val="00000124"/>
    <w:lvl w:ilvl="0" w:tplc="0000305E">
      <w:start w:val="2"/>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BB3"/>
    <w:multiLevelType w:val="hybridMultilevel"/>
    <w:tmpl w:val="00002EA6"/>
    <w:lvl w:ilvl="0" w:tplc="000012DB">
      <w:start w:val="12"/>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4"/>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CD6"/>
    <w:multiLevelType w:val="hybridMultilevel"/>
    <w:tmpl w:val="000072AE"/>
    <w:lvl w:ilvl="0" w:tplc="00006952">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F90"/>
    <w:multiLevelType w:val="hybridMultilevel"/>
    <w:tmpl w:val="00001649"/>
    <w:lvl w:ilvl="0" w:tplc="00006DF1">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4"/>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44651D"/>
    <w:rsid w:val="000279DA"/>
    <w:rsid w:val="00051403"/>
    <w:rsid w:val="00063463"/>
    <w:rsid w:val="000A2CE5"/>
    <w:rsid w:val="001043C2"/>
    <w:rsid w:val="00130307"/>
    <w:rsid w:val="00152FE4"/>
    <w:rsid w:val="00160067"/>
    <w:rsid w:val="001A4BA1"/>
    <w:rsid w:val="00204655"/>
    <w:rsid w:val="002246A6"/>
    <w:rsid w:val="002E15A1"/>
    <w:rsid w:val="00321C49"/>
    <w:rsid w:val="003A7944"/>
    <w:rsid w:val="003D527C"/>
    <w:rsid w:val="0044651D"/>
    <w:rsid w:val="0047186B"/>
    <w:rsid w:val="0048000A"/>
    <w:rsid w:val="004F0E5B"/>
    <w:rsid w:val="005365FE"/>
    <w:rsid w:val="00540E72"/>
    <w:rsid w:val="00545F39"/>
    <w:rsid w:val="005908D8"/>
    <w:rsid w:val="0063515B"/>
    <w:rsid w:val="00665044"/>
    <w:rsid w:val="00681094"/>
    <w:rsid w:val="006B0DB2"/>
    <w:rsid w:val="006B6298"/>
    <w:rsid w:val="0074621D"/>
    <w:rsid w:val="007565F9"/>
    <w:rsid w:val="007D3011"/>
    <w:rsid w:val="00831698"/>
    <w:rsid w:val="00833CCF"/>
    <w:rsid w:val="00846EB2"/>
    <w:rsid w:val="0087110B"/>
    <w:rsid w:val="008875D2"/>
    <w:rsid w:val="008929D9"/>
    <w:rsid w:val="0089784F"/>
    <w:rsid w:val="00973B32"/>
    <w:rsid w:val="009C599F"/>
    <w:rsid w:val="00A71DF5"/>
    <w:rsid w:val="00A90D4D"/>
    <w:rsid w:val="00A9714B"/>
    <w:rsid w:val="00A97694"/>
    <w:rsid w:val="00B01C2F"/>
    <w:rsid w:val="00B6273A"/>
    <w:rsid w:val="00B673EE"/>
    <w:rsid w:val="00BB31AA"/>
    <w:rsid w:val="00BD76C5"/>
    <w:rsid w:val="00C328BE"/>
    <w:rsid w:val="00C4482E"/>
    <w:rsid w:val="00C61796"/>
    <w:rsid w:val="00CA666B"/>
    <w:rsid w:val="00CF6863"/>
    <w:rsid w:val="00D0485E"/>
    <w:rsid w:val="00D33D1A"/>
    <w:rsid w:val="00E02473"/>
    <w:rsid w:val="00F05FB2"/>
    <w:rsid w:val="00F375A5"/>
    <w:rsid w:val="00F5391A"/>
    <w:rsid w:val="00F81830"/>
    <w:rsid w:val="00FB7BC0"/>
    <w:rsid w:val="00FC630F"/>
    <w:rsid w:val="00FE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5CB9ABBE"/>
  <w15:docId w15:val="{86E79BBB-17CD-40B1-87AB-C95068F5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01C2F"/>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otdesubsol">
    <w:name w:val="footnote text"/>
    <w:basedOn w:val="Normal"/>
    <w:link w:val="TextnotdesubsolCaracter"/>
    <w:uiPriority w:val="99"/>
    <w:semiHidden/>
    <w:unhideWhenUsed/>
    <w:rsid w:val="00A71DF5"/>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A71DF5"/>
    <w:rPr>
      <w:sz w:val="20"/>
      <w:szCs w:val="20"/>
    </w:rPr>
  </w:style>
  <w:style w:type="character" w:styleId="Referinnotdesubsol">
    <w:name w:val="footnote reference"/>
    <w:basedOn w:val="Fontdeparagrafimplicit"/>
    <w:uiPriority w:val="99"/>
    <w:semiHidden/>
    <w:unhideWhenUsed/>
    <w:rsid w:val="00A71D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uria.europa.eu/juris/document/document.jsf?docid=46497&amp;doclang=EN" TargetMode="External"/><Relationship Id="rId3" Type="http://schemas.openxmlformats.org/officeDocument/2006/relationships/hyperlink" Target="http://hudoc.echr.coe.int/eng?i=001-150776" TargetMode="External"/><Relationship Id="rId7" Type="http://schemas.openxmlformats.org/officeDocument/2006/relationships/hyperlink" Target="http://eur-lex.europa.eu/legal-content/EN/TXT/?uri=CELEX%3A61979CJ0155" TargetMode="External"/><Relationship Id="rId2" Type="http://schemas.openxmlformats.org/officeDocument/2006/relationships/hyperlink" Target="http://hudoc.echr.coe.int/eng?i=001-150776" TargetMode="External"/><Relationship Id="rId1" Type="http://schemas.openxmlformats.org/officeDocument/2006/relationships/hyperlink" Target="http://hudoc.echr.coe.int/eng?i=001-57709" TargetMode="External"/><Relationship Id="rId6" Type="http://schemas.openxmlformats.org/officeDocument/2006/relationships/hyperlink" Target="http://hudoc.echr.coe.int/eng" TargetMode="External"/><Relationship Id="rId5" Type="http://schemas.openxmlformats.org/officeDocument/2006/relationships/hyperlink" Target="http://hudoc.echr.coe.int/eng?i=001-58144" TargetMode="External"/><Relationship Id="rId4" Type="http://schemas.openxmlformats.org/officeDocument/2006/relationships/hyperlink" Target="http://hudoc.echr.coe.int/eng?i=001-57887" TargetMode="External"/><Relationship Id="rId9" Type="http://schemas.openxmlformats.org/officeDocument/2006/relationships/hyperlink" Target="http://curia.europa.eu/juris/document/document.jsf?docid=46497&amp;doc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4F46A-95B1-496A-B5DC-182EE419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1623</Words>
  <Characters>9415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Daniel Cismaru</cp:lastModifiedBy>
  <cp:revision>35</cp:revision>
  <dcterms:created xsi:type="dcterms:W3CDTF">2017-02-02T09:30:00Z</dcterms:created>
  <dcterms:modified xsi:type="dcterms:W3CDTF">2017-02-08T13:33:00Z</dcterms:modified>
</cp:coreProperties>
</file>