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A1" w:rsidRDefault="000542A1" w:rsidP="00215C0A">
      <w:pPr>
        <w:shd w:val="clear" w:color="auto" w:fill="E7E7E7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aps/>
          <w:color w:val="B80000"/>
          <w:kern w:val="36"/>
          <w:szCs w:val="24"/>
          <w:lang w:val="en" w:eastAsia="ro-RO"/>
        </w:rPr>
      </w:pPr>
      <w:r>
        <w:rPr>
          <w:rFonts w:ascii="Tahoma" w:eastAsia="Times New Roman" w:hAnsi="Tahoma" w:cs="Tahoma"/>
          <w:caps/>
          <w:noProof/>
          <w:color w:val="B80000"/>
          <w:kern w:val="36"/>
          <w:szCs w:val="24"/>
          <w:lang w:eastAsia="ro-RO"/>
        </w:rPr>
        <w:drawing>
          <wp:inline distT="0" distB="0" distL="0" distR="0">
            <wp:extent cx="6541135" cy="1136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R-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93" cy="11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A1" w:rsidRPr="000542A1" w:rsidRDefault="000542A1" w:rsidP="000542A1">
      <w:pPr>
        <w:shd w:val="clear" w:color="auto" w:fill="E7E7E7"/>
        <w:spacing w:line="240" w:lineRule="auto"/>
        <w:jc w:val="center"/>
        <w:outlineLvl w:val="0"/>
        <w:rPr>
          <w:rFonts w:asciiTheme="minorHAnsi" w:eastAsia="Times New Roman" w:hAnsiTheme="minorHAnsi" w:cstheme="minorHAnsi"/>
          <w:caps/>
          <w:color w:val="B80000"/>
          <w:kern w:val="36"/>
          <w:szCs w:val="24"/>
          <w:lang w:val="en" w:eastAsia="ro-RO"/>
        </w:rPr>
      </w:pPr>
      <w:r w:rsidRPr="000542A1">
        <w:rPr>
          <w:rFonts w:asciiTheme="minorHAnsi" w:eastAsia="Times New Roman" w:hAnsiTheme="minorHAnsi" w:cstheme="minorHAnsi"/>
          <w:caps/>
          <w:color w:val="B80000"/>
          <w:kern w:val="36"/>
          <w:szCs w:val="24"/>
          <w:lang w:val="en" w:eastAsia="ro-RO"/>
        </w:rPr>
        <w:t>COMUNICAT DE PRESĂ</w:t>
      </w:r>
    </w:p>
    <w:p w:rsidR="000542A1" w:rsidRPr="000542A1" w:rsidRDefault="000542A1" w:rsidP="000542A1">
      <w:pPr>
        <w:shd w:val="clear" w:color="auto" w:fill="E7E7E7"/>
        <w:spacing w:line="240" w:lineRule="auto"/>
        <w:jc w:val="center"/>
        <w:outlineLvl w:val="0"/>
        <w:rPr>
          <w:rFonts w:asciiTheme="minorHAnsi" w:eastAsia="Times New Roman" w:hAnsiTheme="minorHAnsi" w:cstheme="minorHAnsi"/>
          <w:i/>
          <w:caps/>
          <w:color w:val="B80000"/>
          <w:kern w:val="36"/>
          <w:szCs w:val="24"/>
          <w:lang w:val="en" w:eastAsia="ro-RO"/>
        </w:rPr>
      </w:pPr>
      <w:r w:rsidRPr="000542A1">
        <w:rPr>
          <w:rFonts w:asciiTheme="minorHAnsi" w:eastAsia="Times New Roman" w:hAnsiTheme="minorHAnsi" w:cstheme="minorHAnsi"/>
          <w:i/>
          <w:caps/>
          <w:color w:val="B80000"/>
          <w:kern w:val="36"/>
          <w:szCs w:val="24"/>
          <w:lang w:val="en" w:eastAsia="ro-RO"/>
        </w:rPr>
        <w:t>- Extras -</w:t>
      </w:r>
    </w:p>
    <w:p w:rsidR="000542A1" w:rsidRPr="000542A1" w:rsidRDefault="000542A1" w:rsidP="000542A1">
      <w:pPr>
        <w:shd w:val="clear" w:color="auto" w:fill="F9F3D2"/>
        <w:spacing w:line="240" w:lineRule="auto"/>
        <w:rPr>
          <w:rFonts w:asciiTheme="minorHAnsi" w:eastAsia="Times New Roman" w:hAnsiTheme="minorHAnsi" w:cstheme="minorHAnsi"/>
          <w:szCs w:val="24"/>
          <w:lang w:val="en" w:eastAsia="ro-RO"/>
        </w:rPr>
      </w:pPr>
      <w:r w:rsidRPr="000542A1">
        <w:rPr>
          <w:rFonts w:asciiTheme="minorHAnsi" w:eastAsia="Times New Roman" w:hAnsiTheme="minorHAnsi" w:cstheme="minorHAnsi"/>
          <w:i/>
          <w:iCs/>
          <w:sz w:val="17"/>
          <w:szCs w:val="17"/>
          <w:lang w:val="en" w:eastAsia="ro-RO"/>
        </w:rPr>
        <w:t>04.04.2017</w:t>
      </w:r>
      <w:r w:rsidRPr="000542A1">
        <w:rPr>
          <w:rFonts w:asciiTheme="minorHAnsi" w:eastAsia="Times New Roman" w:hAnsiTheme="minorHAnsi" w:cstheme="minorHAnsi"/>
          <w:szCs w:val="24"/>
          <w:lang w:val="en" w:eastAsia="ro-RO"/>
        </w:rPr>
        <w:t xml:space="preserve"> 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</w:pP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În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ziua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de 4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aprilie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2017,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Plenul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Curții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Constituționale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învestit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în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temeiul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art.146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lit.d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) din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Constituţia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României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, al art.11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alin</w:t>
      </w:r>
      <w:proofErr w:type="spellEnd"/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.(</w:t>
      </w:r>
      <w:proofErr w:type="gram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1)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lit.d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)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al art.29 din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Legea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nr.47/1992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privind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organizarea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şi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funcţionarea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Curţii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Constituţionale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, 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luat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în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dezbatere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următoarele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excepții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de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neconstituționalitate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: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</w:pPr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en" w:eastAsia="ro-RO"/>
        </w:rPr>
        <w:t>I. 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Excepția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de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neconstituționalitate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dispozițiilor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art.27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lit.d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) </w:t>
      </w:r>
      <w:proofErr w:type="spellStart"/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ale art.14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lit.a</w:t>
      </w:r>
      <w:proofErr w:type="spellEnd"/>
      <w:proofErr w:type="gram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) din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Legea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nr.51/1995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pentru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organizarea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exercitarea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profesiei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 xml:space="preserve"> de avocat,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republicată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en" w:eastAsia="ro-RO"/>
        </w:rPr>
        <w:t>.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</w:pP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>Prevederile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 xml:space="preserve"> legale criticate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>au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>următorul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>cuprins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>: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Art.14:</w:t>
      </w:r>
      <w:proofErr w:type="gram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 </w:t>
      </w:r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„Este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nedemn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de a fi avocat:[...]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a)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cel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condamnat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definitiv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prin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hotărâre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judecătorească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la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pedeapsa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cu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 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închisoare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pentru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săvârșirea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unei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infracțiuni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intenționate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, de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natură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să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aducă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 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atingere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prestigiului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proofErr w:type="gram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profesiei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;</w:t>
      </w:r>
      <w:proofErr w:type="gramEnd"/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Art. </w:t>
      </w:r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27:</w:t>
      </w:r>
      <w:proofErr w:type="gram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 </w:t>
      </w:r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„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Calitatea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de avocat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încetează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:[...]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d)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dacă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avocatul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a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fost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condamnat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definitiv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pentru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o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faptă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prevăzută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de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legea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penală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care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îl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face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nedemn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de a fi avocat,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conform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legii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. "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În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urma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deliberărilor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Curtea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Constituțională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cu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unanimitate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</w:t>
      </w:r>
      <w:proofErr w:type="spellStart"/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voturi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:</w:t>
      </w:r>
      <w:proofErr w:type="gramEnd"/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1. A admis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excepția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neconstituționalitate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</w:t>
      </w:r>
      <w:proofErr w:type="gram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constatat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sintagma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 </w:t>
      </w:r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„de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natură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să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aducă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atingere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prestigiului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profesiei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” 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din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cuprinsul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art.14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lit.a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)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din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Legea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nr.51/1995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pentru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organizarea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şi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exercitarea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profesiei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avocat,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republicată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este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neconstituțională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.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Curtea</w:t>
      </w:r>
      <w:proofErr w:type="spellEnd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fr-FR" w:eastAsia="ro-RO"/>
        </w:rPr>
        <w:t> </w:t>
      </w:r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constatat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sintagma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 </w:t>
      </w:r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„de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natură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să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aducă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atingere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prestigiului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profesiei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” 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din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cuprinsul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art.14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lit.a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)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din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Legea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nr.51/1995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contravine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art.1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alin</w:t>
      </w:r>
      <w:proofErr w:type="spellEnd"/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.(</w:t>
      </w:r>
      <w:proofErr w:type="gram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5)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din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Constituție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redactarea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acesteia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fiind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lipsită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  de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claritate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precizie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având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în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vedere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nu se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precizează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în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mod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clar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acele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infracțiuni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care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aduc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atingere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prestigiului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profesiei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avocat.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Așa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fiind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necircumstanțierea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expresă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acelor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infracțiuni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care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sunt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natură</w:t>
      </w:r>
      <w:proofErr w:type="spellEnd"/>
      <w:r w:rsidRPr="000542A1">
        <w:rPr>
          <w:rFonts w:asciiTheme="minorHAnsi" w:eastAsia="Times New Roman" w:hAnsiTheme="minorHAnsi" w:cstheme="minorHAnsi"/>
          <w:i/>
          <w:iCs/>
          <w:color w:val="000000"/>
          <w:szCs w:val="24"/>
          <w:lang w:val="fr-FR" w:eastAsia="ro-RO"/>
        </w:rPr>
        <w:t> 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aducă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atingere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prestigiului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profesiei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avocat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lasă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loc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arbitrariului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făcând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posibilă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aplicarea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diferențiată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sancțiunii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excluderii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din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profesie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în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funcție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aprecierea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subiectivă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</w:t>
      </w:r>
      <w:proofErr w:type="gram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organelor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competente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.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2. 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respins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ca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neîntemeiată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excepția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neconstituționalitate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constatat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prevederile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art.27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lit.d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)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din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Legea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nr.51/1995</w:t>
      </w:r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fr-FR" w:eastAsia="ro-RO"/>
        </w:rPr>
        <w:t> 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pentru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organizarea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şi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exercitarea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profesiei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gram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de avocat</w:t>
      </w:r>
      <w:proofErr w:type="gram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republicată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sunt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constituționale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în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raport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cu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criticile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formulate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.</w:t>
      </w:r>
    </w:p>
    <w:p w:rsidR="000542A1" w:rsidRPr="000542A1" w:rsidRDefault="000542A1" w:rsidP="000542A1">
      <w:pPr>
        <w:shd w:val="clear" w:color="auto" w:fill="F9F3D2"/>
        <w:spacing w:before="100" w:beforeAutospacing="1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</w:pP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Decizia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este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definitivă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general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obligatorie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se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comunică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celor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două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Camere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ale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Parlamentului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Guvernului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instanței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care 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sesizat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Curtea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Constituțională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respectiv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Curtea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de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Apel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București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-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Secția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a VIII-a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contencios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administrativ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>și</w:t>
      </w:r>
      <w:proofErr w:type="spellEnd"/>
      <w:r w:rsidRPr="000542A1">
        <w:rPr>
          <w:rFonts w:asciiTheme="minorHAnsi" w:eastAsia="Times New Roman" w:hAnsiTheme="minorHAnsi" w:cstheme="minorHAnsi"/>
          <w:color w:val="000000"/>
          <w:szCs w:val="24"/>
          <w:lang w:val="fr-FR" w:eastAsia="ro-RO"/>
        </w:rPr>
        <w:t xml:space="preserve"> fiscal.</w:t>
      </w:r>
    </w:p>
    <w:p w:rsidR="000542A1" w:rsidRPr="000542A1" w:rsidRDefault="000542A1" w:rsidP="000542A1">
      <w:pPr>
        <w:shd w:val="clear" w:color="auto" w:fill="F9F3D2"/>
        <w:spacing w:line="240" w:lineRule="auto"/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</w:pPr>
      <w:r w:rsidRPr="000542A1">
        <w:rPr>
          <w:rFonts w:asciiTheme="minorHAnsi" w:eastAsia="Times New Roman" w:hAnsiTheme="minorHAnsi" w:cstheme="minorHAnsi"/>
          <w:color w:val="000000"/>
          <w:szCs w:val="24"/>
          <w:lang w:val="it-IT" w:eastAsia="ro-RO"/>
        </w:rPr>
        <w:t>[…]</w:t>
      </w:r>
    </w:p>
    <w:p w:rsidR="000542A1" w:rsidRDefault="000542A1" w:rsidP="000542A1">
      <w:pPr>
        <w:shd w:val="clear" w:color="auto" w:fill="F9F3D2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</w:pPr>
    </w:p>
    <w:p w:rsidR="00067612" w:rsidRDefault="000542A1" w:rsidP="000542A1">
      <w:pPr>
        <w:shd w:val="clear" w:color="auto" w:fill="F9F3D2"/>
        <w:spacing w:line="240" w:lineRule="auto"/>
        <w:jc w:val="center"/>
      </w:pPr>
      <w:proofErr w:type="spellStart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>Compartimentul</w:t>
      </w:r>
      <w:proofErr w:type="spellEnd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>Relaţii</w:t>
      </w:r>
      <w:proofErr w:type="spellEnd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>externe</w:t>
      </w:r>
      <w:proofErr w:type="spellEnd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 xml:space="preserve">, </w:t>
      </w:r>
      <w:proofErr w:type="spellStart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>relaţii</w:t>
      </w:r>
      <w:proofErr w:type="spellEnd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 xml:space="preserve"> cu presa </w:t>
      </w:r>
      <w:proofErr w:type="spellStart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>şi</w:t>
      </w:r>
      <w:proofErr w:type="spellEnd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 xml:space="preserve"> protocol al </w:t>
      </w:r>
      <w:proofErr w:type="spellStart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>Curţii</w:t>
      </w:r>
      <w:proofErr w:type="spellEnd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 xml:space="preserve"> </w:t>
      </w:r>
      <w:proofErr w:type="spellStart"/>
      <w:r w:rsidRPr="000542A1">
        <w:rPr>
          <w:rFonts w:asciiTheme="minorHAnsi" w:eastAsia="Times New Roman" w:hAnsiTheme="minorHAnsi" w:cstheme="minorHAnsi"/>
          <w:b/>
          <w:bCs/>
          <w:color w:val="000000"/>
          <w:szCs w:val="24"/>
          <w:lang w:val="it-IT" w:eastAsia="ro-RO"/>
        </w:rPr>
        <w:t>Constituţionale</w:t>
      </w:r>
      <w:bookmarkStart w:id="0" w:name="_GoBack"/>
      <w:bookmarkEnd w:id="0"/>
      <w:proofErr w:type="spellEnd"/>
    </w:p>
    <w:sectPr w:rsidR="00067612" w:rsidSect="000542A1">
      <w:pgSz w:w="11909" w:h="16834" w:code="9"/>
      <w:pgMar w:top="432" w:right="576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1"/>
    <w:rsid w:val="000542A1"/>
    <w:rsid w:val="00067612"/>
    <w:rsid w:val="00215C0A"/>
    <w:rsid w:val="00A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4F6FE-5282-4732-9237-86111AF4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0542A1"/>
    <w:pPr>
      <w:spacing w:before="100" w:beforeAutospacing="1" w:after="100" w:afterAutospacing="1" w:line="240" w:lineRule="auto"/>
      <w:jc w:val="center"/>
      <w:outlineLvl w:val="0"/>
    </w:pPr>
    <w:rPr>
      <w:rFonts w:ascii="Tahoma" w:eastAsia="Times New Roman" w:hAnsi="Tahoma" w:cs="Tahoma"/>
      <w:caps/>
      <w:color w:val="B80000"/>
      <w:kern w:val="36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2A1"/>
    <w:rPr>
      <w:rFonts w:ascii="Tahoma" w:eastAsia="Times New Roman" w:hAnsi="Tahoma" w:cs="Tahoma"/>
      <w:caps/>
      <w:color w:val="B80000"/>
      <w:kern w:val="36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0542A1"/>
    <w:pPr>
      <w:spacing w:before="100" w:beforeAutospacing="1" w:after="100" w:afterAutospacing="1" w:line="336" w:lineRule="auto"/>
      <w:jc w:val="both"/>
    </w:pPr>
    <w:rPr>
      <w:rFonts w:eastAsia="Times New Roman" w:cs="Arial"/>
      <w:color w:val="000000"/>
      <w:szCs w:val="24"/>
      <w:lang w:eastAsia="ro-RO"/>
    </w:rPr>
  </w:style>
  <w:style w:type="character" w:customStyle="1" w:styleId="date1">
    <w:name w:val="date1"/>
    <w:basedOn w:val="DefaultParagraphFont"/>
    <w:rsid w:val="000542A1"/>
    <w:rPr>
      <w:i/>
      <w:iCs/>
      <w:sz w:val="17"/>
      <w:szCs w:val="17"/>
    </w:rPr>
  </w:style>
  <w:style w:type="character" w:styleId="Emphasis">
    <w:name w:val="Emphasis"/>
    <w:basedOn w:val="DefaultParagraphFont"/>
    <w:uiPriority w:val="20"/>
    <w:qFormat/>
    <w:rsid w:val="000542A1"/>
    <w:rPr>
      <w:i/>
      <w:iCs/>
    </w:rPr>
  </w:style>
  <w:style w:type="paragraph" w:customStyle="1" w:styleId="normalweb1">
    <w:name w:val="normalweb1"/>
    <w:basedOn w:val="Normal"/>
    <w:rsid w:val="000542A1"/>
    <w:pPr>
      <w:spacing w:before="100" w:beforeAutospacing="1" w:after="100" w:afterAutospacing="1" w:line="336" w:lineRule="auto"/>
      <w:jc w:val="both"/>
    </w:pPr>
    <w:rPr>
      <w:rFonts w:eastAsia="Times New Roman" w:cs="Arial"/>
      <w:color w:val="000000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0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65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01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9130">
                                      <w:marLeft w:val="150"/>
                                      <w:marRight w:val="15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2</cp:revision>
  <cp:lastPrinted>2017-04-05T11:38:00Z</cp:lastPrinted>
  <dcterms:created xsi:type="dcterms:W3CDTF">2017-04-05T11:29:00Z</dcterms:created>
  <dcterms:modified xsi:type="dcterms:W3CDTF">2017-04-05T11:39:00Z</dcterms:modified>
</cp:coreProperties>
</file>