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C4" w:rsidRDefault="00401FC4" w:rsidP="00CB59BE">
      <w:pPr>
        <w:pStyle w:val="AONormal"/>
        <w:spacing w:after="240"/>
        <w:outlineLvl w:val="0"/>
        <w:rPr>
          <w:rFonts w:ascii="Arial" w:hAnsi="Arial" w:cs="Arial"/>
          <w:b/>
          <w:noProof/>
          <w:lang w:val="ro-RO"/>
        </w:rPr>
      </w:pPr>
    </w:p>
    <w:p w:rsidR="00401FC4" w:rsidRDefault="00401FC4" w:rsidP="00F5028E">
      <w:pPr>
        <w:pStyle w:val="AONormal"/>
        <w:spacing w:after="240"/>
        <w:jc w:val="center"/>
        <w:outlineLvl w:val="0"/>
        <w:rPr>
          <w:rFonts w:ascii="Arial" w:hAnsi="Arial" w:cs="Arial"/>
          <w:b/>
          <w:noProof/>
          <w:lang w:val="ro-RO"/>
        </w:rPr>
      </w:pPr>
      <w:r>
        <w:rPr>
          <w:rFonts w:ascii="Arial" w:hAnsi="Arial" w:cs="Arial"/>
          <w:b/>
          <w:noProof/>
          <w:lang w:val="ro-RO"/>
        </w:rPr>
        <w:t>UNIUNEA NAŢIONALĂ A BAROURILOR DIN ROMÂNIA</w:t>
      </w:r>
    </w:p>
    <w:p w:rsidR="00401FC4" w:rsidRDefault="00401FC4" w:rsidP="00F5028E">
      <w:pPr>
        <w:pStyle w:val="AONormal"/>
        <w:spacing w:after="240"/>
        <w:jc w:val="center"/>
        <w:outlineLvl w:val="0"/>
        <w:rPr>
          <w:rFonts w:ascii="Arial" w:hAnsi="Arial" w:cs="Arial"/>
          <w:b/>
          <w:noProof/>
          <w:lang w:val="ro-RO"/>
        </w:rPr>
      </w:pPr>
      <w:r>
        <w:rPr>
          <w:rFonts w:ascii="Arial" w:hAnsi="Arial" w:cs="Arial"/>
          <w:b/>
          <w:noProof/>
          <w:lang w:val="ro-RO"/>
        </w:rPr>
        <w:t>CONSILIUL UNBR</w:t>
      </w:r>
    </w:p>
    <w:p w:rsidR="00401FC4" w:rsidRDefault="00401FC4" w:rsidP="00CB59BE">
      <w:pPr>
        <w:pStyle w:val="AONormal"/>
        <w:spacing w:after="240"/>
        <w:outlineLvl w:val="0"/>
        <w:rPr>
          <w:rFonts w:ascii="Arial" w:hAnsi="Arial" w:cs="Arial"/>
          <w:b/>
          <w:noProof/>
          <w:lang w:val="ro-RO"/>
        </w:rPr>
      </w:pPr>
    </w:p>
    <w:p w:rsidR="00401FC4" w:rsidRDefault="00401FC4" w:rsidP="00CB59BE">
      <w:pPr>
        <w:pStyle w:val="AONormal"/>
        <w:spacing w:after="240"/>
        <w:jc w:val="center"/>
        <w:outlineLvl w:val="0"/>
        <w:rPr>
          <w:rFonts w:ascii="Arial" w:hAnsi="Arial" w:cs="Arial"/>
          <w:b/>
          <w:noProof/>
          <w:lang w:val="ro-RO"/>
        </w:rPr>
      </w:pPr>
    </w:p>
    <w:p w:rsidR="00401FC4" w:rsidRPr="008C7EED" w:rsidRDefault="00401FC4" w:rsidP="00CB59BE">
      <w:pPr>
        <w:pStyle w:val="AONormal"/>
        <w:spacing w:after="240"/>
        <w:jc w:val="center"/>
        <w:outlineLvl w:val="0"/>
        <w:rPr>
          <w:rFonts w:ascii="Arial" w:hAnsi="Arial" w:cs="Arial"/>
          <w:b/>
          <w:noProof/>
          <w:lang w:val="ro-RO"/>
        </w:rPr>
      </w:pPr>
      <w:bookmarkStart w:id="0" w:name="_GoBack"/>
      <w:bookmarkEnd w:id="0"/>
      <w:r w:rsidRPr="008C7EED">
        <w:rPr>
          <w:rFonts w:ascii="Arial" w:hAnsi="Arial" w:cs="Arial"/>
          <w:b/>
          <w:noProof/>
          <w:lang w:val="ro-RO"/>
        </w:rPr>
        <w:t xml:space="preserve">HOTĂRÂRE nr. </w:t>
      </w:r>
      <w:r>
        <w:rPr>
          <w:rFonts w:ascii="Arial" w:hAnsi="Arial" w:cs="Arial"/>
          <w:b/>
          <w:noProof/>
          <w:lang w:val="ro-RO"/>
        </w:rPr>
        <w:t xml:space="preserve">1069 </w:t>
      </w:r>
      <w:r w:rsidRPr="008C7EED">
        <w:rPr>
          <w:rFonts w:ascii="Arial" w:hAnsi="Arial" w:cs="Arial"/>
          <w:b/>
          <w:noProof/>
          <w:lang w:val="ro-RO"/>
        </w:rPr>
        <w:t>din 7 martie 2015</w:t>
      </w:r>
    </w:p>
    <w:p w:rsidR="00401FC4" w:rsidRPr="008C7EED" w:rsidRDefault="00401FC4" w:rsidP="0079456A">
      <w:pPr>
        <w:pStyle w:val="AONormal"/>
        <w:spacing w:after="240"/>
        <w:jc w:val="center"/>
        <w:rPr>
          <w:rFonts w:ascii="Arial" w:hAnsi="Arial" w:cs="Arial"/>
          <w:b/>
          <w:noProof/>
          <w:lang w:val="ro-RO"/>
        </w:rPr>
      </w:pPr>
      <w:r w:rsidRPr="008C7EED">
        <w:rPr>
          <w:rFonts w:ascii="Arial" w:hAnsi="Arial" w:cs="Arial"/>
          <w:b/>
          <w:noProof/>
          <w:lang w:val="ro-RO"/>
        </w:rPr>
        <w:t>privind modificarea şi completarea Statutului profesiei de avocat, adoptat prin Hotărârea Consiliului Uniunii Naţionale a Barourilor din România nr. 64/2011, cu modificările și completarile ulterioare</w:t>
      </w:r>
    </w:p>
    <w:p w:rsidR="00401FC4" w:rsidRPr="008C7EED" w:rsidRDefault="00401FC4" w:rsidP="0079456A">
      <w:pPr>
        <w:pStyle w:val="AONormal"/>
        <w:spacing w:after="240"/>
        <w:jc w:val="center"/>
        <w:rPr>
          <w:rFonts w:ascii="Arial" w:hAnsi="Arial" w:cs="Arial"/>
          <w:noProof/>
          <w:lang w:val="ro-RO"/>
        </w:rPr>
      </w:pPr>
    </w:p>
    <w:p w:rsidR="00401FC4" w:rsidRDefault="00401FC4" w:rsidP="009C70FB">
      <w:pPr>
        <w:pStyle w:val="AONormal"/>
        <w:spacing w:after="240"/>
        <w:jc w:val="both"/>
        <w:rPr>
          <w:rFonts w:ascii="Arial" w:hAnsi="Arial" w:cs="Arial"/>
          <w:i/>
          <w:noProof/>
          <w:lang w:val="ro-RO"/>
        </w:rPr>
      </w:pPr>
      <w:r>
        <w:rPr>
          <w:rFonts w:ascii="Arial" w:hAnsi="Arial" w:cs="Arial"/>
          <w:i/>
          <w:noProof/>
          <w:lang w:val="ro-RO"/>
        </w:rPr>
        <w:t xml:space="preserve">Având în vedere </w:t>
      </w:r>
    </w:p>
    <w:p w:rsidR="00401FC4" w:rsidRPr="008C7EED" w:rsidRDefault="00401FC4" w:rsidP="009C70FB">
      <w:pPr>
        <w:pStyle w:val="AONormal"/>
        <w:spacing w:after="240"/>
        <w:jc w:val="both"/>
        <w:rPr>
          <w:rFonts w:ascii="Arial" w:hAnsi="Arial" w:cs="Arial"/>
          <w:i/>
          <w:noProof/>
          <w:lang w:val="ro-RO"/>
        </w:rPr>
      </w:pPr>
      <w:r w:rsidRPr="00657575">
        <w:rPr>
          <w:rFonts w:ascii="Arial" w:hAnsi="Arial" w:cs="Arial"/>
          <w:i/>
          <w:noProof/>
          <w:lang w:val="ro-RO"/>
        </w:rPr>
        <w:t>stadiul</w:t>
      </w:r>
      <w:r>
        <w:rPr>
          <w:rFonts w:ascii="Arial" w:hAnsi="Arial" w:cs="Arial"/>
          <w:i/>
          <w:noProof/>
          <w:lang w:val="ro-RO"/>
        </w:rPr>
        <w:t xml:space="preserve"> </w:t>
      </w:r>
      <w:r w:rsidRPr="008C7EED">
        <w:rPr>
          <w:rFonts w:ascii="Arial" w:hAnsi="Arial" w:cs="Arial"/>
          <w:i/>
          <w:noProof/>
          <w:lang w:val="ro-RO"/>
        </w:rPr>
        <w:t>reglementărilor privind constituirea Registrului electronic al evidenței patrimoniului de afectațiune al avocaților, care face imposibilă aplicarea în prezent a art. 180 alin. (3) din Statului profesiei de avocat,</w:t>
      </w:r>
    </w:p>
    <w:p w:rsidR="00401FC4" w:rsidRPr="008C7EED" w:rsidRDefault="00401FC4" w:rsidP="009C70FB">
      <w:pPr>
        <w:pStyle w:val="AONormal"/>
        <w:spacing w:after="240"/>
        <w:jc w:val="both"/>
        <w:rPr>
          <w:rFonts w:ascii="Arial" w:hAnsi="Arial" w:cs="Arial"/>
          <w:i/>
          <w:noProof/>
          <w:lang w:val="ro-RO"/>
        </w:rPr>
      </w:pPr>
      <w:r>
        <w:rPr>
          <w:rFonts w:ascii="Arial" w:hAnsi="Arial" w:cs="Arial"/>
          <w:i/>
          <w:noProof/>
          <w:lang w:val="ro-RO"/>
        </w:rPr>
        <w:t>n</w:t>
      </w:r>
      <w:r w:rsidRPr="008C7EED">
        <w:rPr>
          <w:rFonts w:ascii="Arial" w:hAnsi="Arial" w:cs="Arial"/>
          <w:i/>
          <w:noProof/>
          <w:lang w:val="ro-RO"/>
        </w:rPr>
        <w:t>ecesitatea clarificării modalității de operare a diviziunii patrimoniale în materia profesiei de avocat până la adoptarea Regulamentului de organizare și funcţionare a Registrului electronic al evidenței patrimoniului de afectațiune al avocaților,</w:t>
      </w:r>
    </w:p>
    <w:p w:rsidR="00401FC4" w:rsidRPr="008C7EED" w:rsidRDefault="00401FC4" w:rsidP="009C70FB">
      <w:pPr>
        <w:pStyle w:val="AONormal"/>
        <w:spacing w:after="240"/>
        <w:jc w:val="both"/>
        <w:rPr>
          <w:rFonts w:ascii="Arial" w:hAnsi="Arial" w:cs="Arial"/>
          <w:i/>
          <w:noProof/>
          <w:lang w:val="ro-RO"/>
        </w:rPr>
      </w:pPr>
      <w:r>
        <w:rPr>
          <w:rFonts w:ascii="Arial" w:hAnsi="Arial" w:cs="Arial"/>
          <w:i/>
          <w:noProof/>
          <w:lang w:val="ro-RO"/>
        </w:rPr>
        <w:t>tinând cont de d</w:t>
      </w:r>
      <w:r w:rsidRPr="008C7EED">
        <w:rPr>
          <w:rFonts w:ascii="Arial" w:hAnsi="Arial" w:cs="Arial"/>
          <w:i/>
          <w:noProof/>
          <w:lang w:val="ro-RO"/>
        </w:rPr>
        <w:t>ezbaterile din şedinţa Consiliului Uniunii Naţionale a Barourilor din România referitoare la necesitatea modificării și completării Statutului profesiei de avocat,</w:t>
      </w:r>
    </w:p>
    <w:p w:rsidR="00401FC4" w:rsidRPr="008C7EED" w:rsidRDefault="00401FC4" w:rsidP="009C70FB">
      <w:pPr>
        <w:pStyle w:val="AONormal"/>
        <w:spacing w:after="240"/>
        <w:jc w:val="both"/>
        <w:rPr>
          <w:rFonts w:ascii="Arial" w:hAnsi="Arial" w:cs="Arial"/>
          <w:noProof/>
          <w:lang w:val="ro-RO"/>
        </w:rPr>
      </w:pPr>
      <w:r w:rsidRPr="008C7EED">
        <w:rPr>
          <w:rFonts w:ascii="Arial" w:hAnsi="Arial" w:cs="Arial"/>
          <w:noProof/>
          <w:lang w:val="ro-RO"/>
        </w:rPr>
        <w:t>În temeiul prevederilor art. 2 din Hotărârea Congresului Avocaţilor nr. 6 din 28 – 29 martie 2014 privind mandatarea Consiliului Uniunii Naţionale a Barourilor din România de a îndeplini atribuţiunea prevăzută la art. 64 alin. (1) lit. d) din Legea nr. 51/1995,</w:t>
      </w:r>
    </w:p>
    <w:p w:rsidR="00401FC4" w:rsidRPr="008C7EED" w:rsidRDefault="00401FC4" w:rsidP="009C70FB">
      <w:pPr>
        <w:pStyle w:val="AONormal"/>
        <w:spacing w:after="240"/>
        <w:jc w:val="both"/>
        <w:rPr>
          <w:rFonts w:ascii="Arial" w:hAnsi="Arial" w:cs="Arial"/>
          <w:noProof/>
          <w:lang w:val="ro-RO"/>
        </w:rPr>
      </w:pPr>
      <w:r w:rsidRPr="008C7EED">
        <w:rPr>
          <w:rFonts w:ascii="Arial" w:hAnsi="Arial" w:cs="Arial"/>
          <w:noProof/>
          <w:lang w:val="ro-RO"/>
        </w:rPr>
        <w:t>Consiliul Uniunii Naţionale a Barourilor din România hotărăşte:</w:t>
      </w:r>
    </w:p>
    <w:p w:rsidR="00401FC4" w:rsidRPr="008C7EED" w:rsidRDefault="00401FC4" w:rsidP="00F5028E">
      <w:pPr>
        <w:pStyle w:val="AONormal"/>
        <w:spacing w:after="240"/>
        <w:jc w:val="both"/>
        <w:outlineLvl w:val="0"/>
        <w:rPr>
          <w:rFonts w:ascii="Arial" w:hAnsi="Arial" w:cs="Arial"/>
          <w:b/>
          <w:noProof/>
          <w:lang w:val="ro-RO"/>
        </w:rPr>
      </w:pPr>
      <w:r w:rsidRPr="008C7EED">
        <w:rPr>
          <w:rFonts w:ascii="Arial" w:hAnsi="Arial" w:cs="Arial"/>
          <w:b/>
          <w:noProof/>
          <w:lang w:val="ro-RO"/>
        </w:rPr>
        <w:t>Art. I</w:t>
      </w:r>
    </w:p>
    <w:p w:rsidR="00401FC4" w:rsidRPr="008C7EED" w:rsidRDefault="00401FC4" w:rsidP="009C70FB">
      <w:pPr>
        <w:pStyle w:val="AONormal"/>
        <w:spacing w:after="240"/>
        <w:jc w:val="both"/>
        <w:rPr>
          <w:rFonts w:ascii="Arial" w:hAnsi="Arial" w:cs="Arial"/>
          <w:noProof/>
          <w:lang w:val="ro-RO"/>
        </w:rPr>
      </w:pPr>
      <w:r w:rsidRPr="008C7EED">
        <w:rPr>
          <w:rFonts w:ascii="Arial" w:hAnsi="Arial" w:cs="Arial"/>
          <w:noProof/>
          <w:lang w:val="ro-RO"/>
        </w:rPr>
        <w:t>Statutul profesiei de avocat, adoptat prin Hotărârea Consiliului Uniunii Naţionale a Barourilor din România nr. 64/2011, publicată în Monitorul Oficial al României, Partea I, nr. 898 din 19 decembrie 2011, cu modificările și completările ulterioare, se modifică și se completează după cum urmează:</w:t>
      </w:r>
    </w:p>
    <w:p w:rsidR="00401FC4" w:rsidRPr="008C7EED" w:rsidRDefault="00401FC4" w:rsidP="00316A5F">
      <w:pPr>
        <w:pStyle w:val="AONormal"/>
        <w:spacing w:after="240"/>
        <w:jc w:val="both"/>
        <w:rPr>
          <w:rFonts w:ascii="Arial" w:hAnsi="Arial" w:cs="Arial"/>
          <w:noProof/>
          <w:lang w:val="ro-RO"/>
        </w:rPr>
      </w:pPr>
      <w:r w:rsidRPr="008C7EED">
        <w:rPr>
          <w:rFonts w:ascii="Arial" w:hAnsi="Arial" w:cs="Arial"/>
          <w:noProof/>
          <w:lang w:val="ro-RO"/>
        </w:rPr>
        <w:t>a) La articolul 180, după alineatul (3) se introduc două noi alineate, alineatele (4) și (5), cu următorul cuprins:</w:t>
      </w:r>
    </w:p>
    <w:p w:rsidR="00401FC4" w:rsidRPr="008C7EED" w:rsidRDefault="00401FC4" w:rsidP="00651748">
      <w:pPr>
        <w:pStyle w:val="AONormal"/>
        <w:widowControl w:val="0"/>
        <w:spacing w:after="240"/>
        <w:ind w:left="360"/>
        <w:jc w:val="both"/>
        <w:rPr>
          <w:rFonts w:ascii="Arial" w:hAnsi="Arial" w:cs="Arial"/>
          <w:noProof/>
          <w:lang w:val="ro-RO"/>
        </w:rPr>
      </w:pPr>
      <w:r w:rsidRPr="008C7EED">
        <w:rPr>
          <w:rFonts w:ascii="Arial" w:hAnsi="Arial" w:cs="Arial"/>
          <w:noProof/>
          <w:lang w:val="ro-RO"/>
        </w:rPr>
        <w:t xml:space="preserve">"(4) Dispoziţiile alin. (3) privind necesitatea respectării procedurii reglementate de Consiliul U.N.B.R. şi efectul de opozabilitate faţă de terţi al înscrierii în registru devin aplicabile de la data ce se va stabili în acest scop prin hotărârea Consiliului U.N.B.R. pentru aprobarea Regulamentului de organizare și funcţionare a Registrului electronic. </w:t>
      </w:r>
    </w:p>
    <w:p w:rsidR="00401FC4" w:rsidRPr="008C7EED" w:rsidRDefault="00401FC4" w:rsidP="00651748">
      <w:pPr>
        <w:pStyle w:val="AONormal"/>
        <w:widowControl w:val="0"/>
        <w:spacing w:after="240"/>
        <w:ind w:left="360"/>
        <w:jc w:val="both"/>
        <w:rPr>
          <w:rFonts w:ascii="Arial" w:hAnsi="Arial" w:cs="Arial"/>
          <w:noProof/>
          <w:lang w:val="ro-RO"/>
        </w:rPr>
      </w:pPr>
      <w:r w:rsidRPr="008C7EED">
        <w:rPr>
          <w:rFonts w:ascii="Arial" w:hAnsi="Arial" w:cs="Arial"/>
          <w:noProof/>
          <w:lang w:val="ro-RO"/>
        </w:rPr>
        <w:lastRenderedPageBreak/>
        <w:t>(5) Până la data stabilită de către Consiliul U.N.B.R. conform alin. (4), operarea diviziunii patrimoniale se face prin declarație înscrisă în statutul societății civile profesionale, în actul de înființare al cabinetului individual de avocat, în convenția de asociere a cabinetelor individuale de avocați, după caz, sau prin declarație separată, întocmită în formă scrisă și înregistrată la baroul din care face parte avocatul. Orice creditor al unui avocat a cărui creanță s-a născut în legătură cu profesia poate solicita baroului informații privind masa patrimonială afectată exercitării profesiei avocatului conform declarațiilor înregistrate la barou."</w:t>
      </w:r>
    </w:p>
    <w:p w:rsidR="00401FC4" w:rsidRPr="008C7EED" w:rsidRDefault="00401FC4" w:rsidP="00F5028E">
      <w:pPr>
        <w:pStyle w:val="AONormal"/>
        <w:widowControl w:val="0"/>
        <w:spacing w:after="240"/>
        <w:jc w:val="both"/>
        <w:outlineLvl w:val="0"/>
        <w:rPr>
          <w:rFonts w:ascii="Arial" w:hAnsi="Arial" w:cs="Arial"/>
          <w:b/>
          <w:noProof/>
          <w:lang w:val="ro-RO"/>
        </w:rPr>
      </w:pPr>
      <w:r w:rsidRPr="008C7EED">
        <w:rPr>
          <w:rFonts w:ascii="Arial" w:hAnsi="Arial" w:cs="Arial"/>
          <w:b/>
          <w:noProof/>
          <w:lang w:val="ro-RO"/>
        </w:rPr>
        <w:t>Art. II</w:t>
      </w:r>
    </w:p>
    <w:p w:rsidR="00401FC4" w:rsidRPr="008C7EED" w:rsidRDefault="00401FC4" w:rsidP="00651748">
      <w:pPr>
        <w:pStyle w:val="AONormal"/>
        <w:widowControl w:val="0"/>
        <w:spacing w:after="240"/>
        <w:jc w:val="both"/>
        <w:rPr>
          <w:rFonts w:ascii="Arial" w:hAnsi="Arial" w:cs="Arial"/>
          <w:noProof/>
          <w:lang w:val="ro-RO"/>
        </w:rPr>
      </w:pPr>
      <w:r w:rsidRPr="008C7EED">
        <w:rPr>
          <w:rFonts w:ascii="Arial" w:hAnsi="Arial" w:cs="Arial"/>
          <w:noProof/>
          <w:lang w:val="ro-RO"/>
        </w:rPr>
        <w:t>Prezenta hotărâre se publică în Monitorul Oficial al României, Partea I, şi pe pagina web www.unbr.ro</w:t>
      </w:r>
    </w:p>
    <w:p w:rsidR="00401FC4" w:rsidRPr="008C7EED" w:rsidRDefault="00401FC4" w:rsidP="00F5028E">
      <w:pPr>
        <w:pStyle w:val="AONormal"/>
        <w:widowControl w:val="0"/>
        <w:spacing w:after="240"/>
        <w:jc w:val="both"/>
        <w:outlineLvl w:val="0"/>
        <w:rPr>
          <w:rFonts w:ascii="Arial" w:hAnsi="Arial" w:cs="Arial"/>
          <w:b/>
          <w:noProof/>
          <w:lang w:val="ro-RO"/>
        </w:rPr>
      </w:pPr>
      <w:r w:rsidRPr="008C7EED">
        <w:rPr>
          <w:rFonts w:ascii="Arial" w:hAnsi="Arial" w:cs="Arial"/>
          <w:b/>
          <w:noProof/>
          <w:lang w:val="ro-RO"/>
        </w:rPr>
        <w:t>Art. III</w:t>
      </w:r>
    </w:p>
    <w:p w:rsidR="00401FC4" w:rsidRPr="008C7EED" w:rsidRDefault="00401FC4" w:rsidP="00651748">
      <w:pPr>
        <w:pStyle w:val="AONormal"/>
        <w:widowControl w:val="0"/>
        <w:spacing w:after="240"/>
        <w:jc w:val="both"/>
        <w:rPr>
          <w:rFonts w:ascii="Arial" w:hAnsi="Arial" w:cs="Arial"/>
          <w:noProof/>
          <w:lang w:val="ro-RO"/>
        </w:rPr>
      </w:pPr>
      <w:r w:rsidRPr="008C7EED">
        <w:rPr>
          <w:rFonts w:ascii="Arial" w:hAnsi="Arial" w:cs="Arial"/>
          <w:noProof/>
          <w:lang w:val="ro-RO"/>
        </w:rPr>
        <w:t>Prezenta hotărâre se comunică decanilor barourilor, care vor lua măsuri de încunoştinţare a avocaţilor şi structurilor administrative ale baroului care vor fi însărcinate cu ţinerea evidenţelor pe care le implică punerea în aplicare a acesteia.</w:t>
      </w:r>
    </w:p>
    <w:p w:rsidR="00401FC4" w:rsidRPr="008C7EED" w:rsidRDefault="00401FC4" w:rsidP="00F5028E">
      <w:pPr>
        <w:pStyle w:val="AONormal"/>
        <w:widowControl w:val="0"/>
        <w:spacing w:after="240"/>
        <w:jc w:val="both"/>
        <w:outlineLvl w:val="0"/>
        <w:rPr>
          <w:rFonts w:ascii="Arial" w:hAnsi="Arial" w:cs="Arial"/>
          <w:b/>
          <w:noProof/>
          <w:lang w:val="ro-RO"/>
        </w:rPr>
      </w:pPr>
      <w:r w:rsidRPr="008C7EED">
        <w:rPr>
          <w:rFonts w:ascii="Arial" w:hAnsi="Arial" w:cs="Arial"/>
          <w:b/>
          <w:noProof/>
          <w:lang w:val="ro-RO"/>
        </w:rPr>
        <w:t>Art. IV</w:t>
      </w:r>
    </w:p>
    <w:p w:rsidR="00401FC4" w:rsidRPr="008C7EED" w:rsidRDefault="00401FC4" w:rsidP="00651748">
      <w:pPr>
        <w:pStyle w:val="AONormal"/>
        <w:widowControl w:val="0"/>
        <w:spacing w:after="240"/>
        <w:jc w:val="both"/>
        <w:rPr>
          <w:rFonts w:ascii="Arial" w:hAnsi="Arial" w:cs="Arial"/>
          <w:noProof/>
          <w:lang w:val="ro-RO"/>
        </w:rPr>
      </w:pPr>
      <w:r w:rsidRPr="008C7EED">
        <w:rPr>
          <w:rFonts w:ascii="Arial" w:hAnsi="Arial" w:cs="Arial"/>
          <w:noProof/>
          <w:lang w:val="ro-RO"/>
        </w:rPr>
        <w:t>Statutul profesiei de avocat, adoptat prin Hotărârea Consiliului Uniunii Naţionale a Barourilor din România nr. 64/2011, publicat în Monitorul Oficial al României, Partea I, nr. 898 din 19 decembrie 2011, cu modificările și completările ulterioare, precum și cu modificările și completările aduse prin prezenta hotărâre, se va republica în Monitorul Oficial al României, Partea I, dându-se textelor o nouă numerotare.</w:t>
      </w:r>
    </w:p>
    <w:p w:rsidR="00401FC4" w:rsidRPr="008C7EED" w:rsidRDefault="00401FC4" w:rsidP="0079456A">
      <w:pPr>
        <w:pStyle w:val="AONormal"/>
        <w:widowControl w:val="0"/>
        <w:spacing w:after="240"/>
        <w:jc w:val="center"/>
        <w:rPr>
          <w:rFonts w:ascii="Arial" w:hAnsi="Arial" w:cs="Arial"/>
          <w:b/>
          <w:noProof/>
          <w:lang w:val="ro-RO"/>
        </w:rPr>
      </w:pPr>
    </w:p>
    <w:p w:rsidR="00401FC4" w:rsidRDefault="00401FC4" w:rsidP="00007987">
      <w:pPr>
        <w:pStyle w:val="AONormal"/>
        <w:widowControl w:val="0"/>
        <w:spacing w:after="240"/>
        <w:jc w:val="center"/>
        <w:outlineLvl w:val="0"/>
        <w:rPr>
          <w:rFonts w:ascii="Arial" w:hAnsi="Arial" w:cs="Arial"/>
          <w:b/>
          <w:noProof/>
          <w:lang w:val="ro-RO"/>
        </w:rPr>
      </w:pPr>
    </w:p>
    <w:p w:rsidR="00401FC4" w:rsidRPr="00007987" w:rsidRDefault="00401FC4" w:rsidP="00FD690A">
      <w:pPr>
        <w:pStyle w:val="AONormal"/>
        <w:widowControl w:val="0"/>
        <w:spacing w:after="240"/>
        <w:jc w:val="center"/>
        <w:outlineLvl w:val="0"/>
        <w:rPr>
          <w:rFonts w:ascii="Arial" w:hAnsi="Arial" w:cs="Arial"/>
          <w:lang w:val="it-IT"/>
        </w:rPr>
      </w:pPr>
      <w:r w:rsidRPr="00EA475F">
        <w:rPr>
          <w:rFonts w:ascii="Arial" w:hAnsi="Arial" w:cs="Arial"/>
          <w:b/>
          <w:noProof/>
          <w:lang w:val="ro-RO"/>
        </w:rPr>
        <w:t>CONSILIUL UNIUNII NAŢIONALE A BAROURILOR DIN ROMÂNIA</w:t>
      </w:r>
    </w:p>
    <w:sectPr w:rsidR="00401FC4" w:rsidRPr="00007987" w:rsidSect="002B46B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C4" w:rsidRDefault="00401FC4" w:rsidP="00316A5F">
      <w:r>
        <w:separator/>
      </w:r>
    </w:p>
  </w:endnote>
  <w:endnote w:type="continuationSeparator" w:id="0">
    <w:p w:rsidR="00401FC4" w:rsidRDefault="00401FC4" w:rsidP="0031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C4" w:rsidRDefault="00401FC4" w:rsidP="00D65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1FC4" w:rsidRDefault="00401FC4" w:rsidP="000079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C4" w:rsidRDefault="00401FC4" w:rsidP="00D65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90A">
      <w:rPr>
        <w:rStyle w:val="PageNumber"/>
        <w:noProof/>
      </w:rPr>
      <w:t>1</w:t>
    </w:r>
    <w:r>
      <w:rPr>
        <w:rStyle w:val="PageNumber"/>
      </w:rPr>
      <w:fldChar w:fldCharType="end"/>
    </w:r>
  </w:p>
  <w:p w:rsidR="00401FC4" w:rsidRDefault="00401FC4" w:rsidP="00007987">
    <w:pPr>
      <w:pStyle w:val="Footer"/>
      <w:ind w:right="360"/>
      <w:jc w:val="center"/>
    </w:pPr>
  </w:p>
  <w:p w:rsidR="00401FC4" w:rsidRDefault="00401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C4" w:rsidRDefault="00401FC4" w:rsidP="00316A5F">
      <w:r>
        <w:separator/>
      </w:r>
    </w:p>
  </w:footnote>
  <w:footnote w:type="continuationSeparator" w:id="0">
    <w:p w:rsidR="00401FC4" w:rsidRDefault="00401FC4" w:rsidP="00316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B0FBD"/>
    <w:multiLevelType w:val="hybridMultilevel"/>
    <w:tmpl w:val="30E2CC9E"/>
    <w:lvl w:ilvl="0" w:tplc="ADC6F1C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41706D4"/>
    <w:multiLevelType w:val="hybridMultilevel"/>
    <w:tmpl w:val="D100A1BC"/>
    <w:lvl w:ilvl="0" w:tplc="5878530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9053122"/>
    <w:multiLevelType w:val="hybridMultilevel"/>
    <w:tmpl w:val="34C6E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FB"/>
    <w:rsid w:val="00007987"/>
    <w:rsid w:val="000A7CF7"/>
    <w:rsid w:val="000B44C8"/>
    <w:rsid w:val="00121088"/>
    <w:rsid w:val="0014274B"/>
    <w:rsid w:val="00164C52"/>
    <w:rsid w:val="001F6D41"/>
    <w:rsid w:val="00235355"/>
    <w:rsid w:val="00255E53"/>
    <w:rsid w:val="002B46BB"/>
    <w:rsid w:val="002B4952"/>
    <w:rsid w:val="002C52EA"/>
    <w:rsid w:val="00316A5F"/>
    <w:rsid w:val="003F1BE3"/>
    <w:rsid w:val="003F1D83"/>
    <w:rsid w:val="00401FC4"/>
    <w:rsid w:val="004526BC"/>
    <w:rsid w:val="00516EDC"/>
    <w:rsid w:val="00524C40"/>
    <w:rsid w:val="00531A20"/>
    <w:rsid w:val="00592365"/>
    <w:rsid w:val="00651748"/>
    <w:rsid w:val="00657575"/>
    <w:rsid w:val="00666673"/>
    <w:rsid w:val="0069622A"/>
    <w:rsid w:val="0073037A"/>
    <w:rsid w:val="0073078D"/>
    <w:rsid w:val="00757BC7"/>
    <w:rsid w:val="00764FDC"/>
    <w:rsid w:val="0079456A"/>
    <w:rsid w:val="007A0867"/>
    <w:rsid w:val="007A78E8"/>
    <w:rsid w:val="007B4DA2"/>
    <w:rsid w:val="00816C25"/>
    <w:rsid w:val="008C7EED"/>
    <w:rsid w:val="008F4293"/>
    <w:rsid w:val="009607E5"/>
    <w:rsid w:val="009C70FB"/>
    <w:rsid w:val="00A67E2B"/>
    <w:rsid w:val="00AB5FCA"/>
    <w:rsid w:val="00AD5798"/>
    <w:rsid w:val="00B15105"/>
    <w:rsid w:val="00B1770D"/>
    <w:rsid w:val="00B34321"/>
    <w:rsid w:val="00BB1B81"/>
    <w:rsid w:val="00BF4BF1"/>
    <w:rsid w:val="00BF54F9"/>
    <w:rsid w:val="00C2027C"/>
    <w:rsid w:val="00C20B49"/>
    <w:rsid w:val="00CB59BE"/>
    <w:rsid w:val="00D31A0D"/>
    <w:rsid w:val="00D65A24"/>
    <w:rsid w:val="00E011C4"/>
    <w:rsid w:val="00E022F1"/>
    <w:rsid w:val="00E31ED0"/>
    <w:rsid w:val="00E634FC"/>
    <w:rsid w:val="00EA475F"/>
    <w:rsid w:val="00EA5511"/>
    <w:rsid w:val="00ED37E5"/>
    <w:rsid w:val="00F5028E"/>
    <w:rsid w:val="00FC0834"/>
    <w:rsid w:val="00FC28C1"/>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2F078B-8FD8-4D35-B9DD-58CA0A4C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9C70FB"/>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uiPriority w:val="99"/>
    <w:rsid w:val="009C70FB"/>
    <w:pPr>
      <w:spacing w:line="260" w:lineRule="atLeast"/>
    </w:pPr>
    <w:rPr>
      <w:rFonts w:ascii="Times New Roman" w:eastAsia="SimSun" w:hAnsi="Times New Roman"/>
      <w:lang w:val="en-GB"/>
    </w:rPr>
  </w:style>
  <w:style w:type="paragraph" w:styleId="BalloonText">
    <w:name w:val="Balloon Text"/>
    <w:basedOn w:val="Normal"/>
    <w:link w:val="BalloonTextChar"/>
    <w:uiPriority w:val="99"/>
    <w:semiHidden/>
    <w:rsid w:val="007A78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78E8"/>
    <w:rPr>
      <w:rFonts w:ascii="Segoe UI" w:hAnsi="Segoe UI" w:cs="Segoe UI"/>
      <w:sz w:val="18"/>
      <w:szCs w:val="18"/>
      <w:lang w:val="en-GB"/>
    </w:rPr>
  </w:style>
  <w:style w:type="character" w:styleId="CommentReference">
    <w:name w:val="annotation reference"/>
    <w:basedOn w:val="DefaultParagraphFont"/>
    <w:uiPriority w:val="99"/>
    <w:semiHidden/>
    <w:rsid w:val="00E011C4"/>
    <w:rPr>
      <w:rFonts w:cs="Times New Roman"/>
      <w:sz w:val="16"/>
      <w:szCs w:val="16"/>
    </w:rPr>
  </w:style>
  <w:style w:type="paragraph" w:styleId="CommentText">
    <w:name w:val="annotation text"/>
    <w:basedOn w:val="Normal"/>
    <w:link w:val="CommentTextChar"/>
    <w:uiPriority w:val="99"/>
    <w:semiHidden/>
    <w:rsid w:val="00E011C4"/>
    <w:rPr>
      <w:sz w:val="20"/>
    </w:rPr>
  </w:style>
  <w:style w:type="character" w:customStyle="1" w:styleId="CommentTextChar">
    <w:name w:val="Comment Text Char"/>
    <w:basedOn w:val="DefaultParagraphFont"/>
    <w:link w:val="CommentText"/>
    <w:uiPriority w:val="99"/>
    <w:semiHidden/>
    <w:locked/>
    <w:rsid w:val="00E011C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E011C4"/>
    <w:rPr>
      <w:b/>
      <w:bCs/>
    </w:rPr>
  </w:style>
  <w:style w:type="character" w:customStyle="1" w:styleId="CommentSubjectChar">
    <w:name w:val="Comment Subject Char"/>
    <w:basedOn w:val="CommentTextChar"/>
    <w:link w:val="CommentSubject"/>
    <w:uiPriority w:val="99"/>
    <w:semiHidden/>
    <w:locked/>
    <w:rsid w:val="00E011C4"/>
    <w:rPr>
      <w:rFonts w:ascii="Times New Roman" w:hAnsi="Times New Roman" w:cs="Times New Roman"/>
      <w:b/>
      <w:bCs/>
      <w:sz w:val="20"/>
      <w:szCs w:val="20"/>
      <w:lang w:val="en-GB"/>
    </w:rPr>
  </w:style>
  <w:style w:type="paragraph" w:styleId="Header">
    <w:name w:val="header"/>
    <w:basedOn w:val="Normal"/>
    <w:link w:val="HeaderChar"/>
    <w:uiPriority w:val="99"/>
    <w:rsid w:val="00316A5F"/>
    <w:pPr>
      <w:tabs>
        <w:tab w:val="center" w:pos="4680"/>
        <w:tab w:val="right" w:pos="9360"/>
      </w:tabs>
    </w:pPr>
  </w:style>
  <w:style w:type="character" w:customStyle="1" w:styleId="HeaderChar">
    <w:name w:val="Header Char"/>
    <w:basedOn w:val="DefaultParagraphFont"/>
    <w:link w:val="Header"/>
    <w:uiPriority w:val="99"/>
    <w:locked/>
    <w:rsid w:val="00316A5F"/>
    <w:rPr>
      <w:rFonts w:ascii="Times New Roman" w:hAnsi="Times New Roman" w:cs="Times New Roman"/>
      <w:sz w:val="20"/>
      <w:szCs w:val="20"/>
      <w:lang w:val="en-GB"/>
    </w:rPr>
  </w:style>
  <w:style w:type="paragraph" w:styleId="Footer">
    <w:name w:val="footer"/>
    <w:basedOn w:val="Normal"/>
    <w:link w:val="FooterChar"/>
    <w:uiPriority w:val="99"/>
    <w:rsid w:val="00316A5F"/>
    <w:pPr>
      <w:tabs>
        <w:tab w:val="center" w:pos="4680"/>
        <w:tab w:val="right" w:pos="9360"/>
      </w:tabs>
    </w:pPr>
  </w:style>
  <w:style w:type="character" w:customStyle="1" w:styleId="FooterChar">
    <w:name w:val="Footer Char"/>
    <w:basedOn w:val="DefaultParagraphFont"/>
    <w:link w:val="Footer"/>
    <w:uiPriority w:val="99"/>
    <w:locked/>
    <w:rsid w:val="00316A5F"/>
    <w:rPr>
      <w:rFonts w:ascii="Times New Roman" w:hAnsi="Times New Roman" w:cs="Times New Roman"/>
      <w:sz w:val="20"/>
      <w:szCs w:val="20"/>
      <w:lang w:val="en-GB"/>
    </w:rPr>
  </w:style>
  <w:style w:type="paragraph" w:styleId="DocumentMap">
    <w:name w:val="Document Map"/>
    <w:basedOn w:val="Normal"/>
    <w:link w:val="DocumentMapChar"/>
    <w:uiPriority w:val="99"/>
    <w:semiHidden/>
    <w:rsid w:val="00F5028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F54F9"/>
    <w:rPr>
      <w:rFonts w:ascii="Times New Roman" w:hAnsi="Times New Roman" w:cs="Times New Roman"/>
      <w:sz w:val="2"/>
      <w:lang w:val="en-GB" w:eastAsia="en-US"/>
    </w:rPr>
  </w:style>
  <w:style w:type="character" w:styleId="PageNumber">
    <w:name w:val="page number"/>
    <w:basedOn w:val="DefaultParagraphFont"/>
    <w:uiPriority w:val="99"/>
    <w:rsid w:val="000079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HOTĂRÂRE nr</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 nr</dc:title>
  <dc:subject/>
  <dc:creator>Allen &amp; Overy</dc:creator>
  <cp:keywords/>
  <dc:description/>
  <cp:lastModifiedBy>Alexandru GHERASIM</cp:lastModifiedBy>
  <cp:revision>2</cp:revision>
  <cp:lastPrinted>2015-03-11T07:58:00Z</cp:lastPrinted>
  <dcterms:created xsi:type="dcterms:W3CDTF">2015-03-12T09:52:00Z</dcterms:created>
  <dcterms:modified xsi:type="dcterms:W3CDTF">2015-03-12T09:52:00Z</dcterms:modified>
</cp:coreProperties>
</file>