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FB" w:rsidRPr="00906B0E" w:rsidRDefault="00886CFB" w:rsidP="00906B0E">
      <w:pPr>
        <w:jc w:val="center"/>
        <w:rPr>
          <w:lang w:val="pt-PT"/>
        </w:rPr>
      </w:pPr>
      <w:bookmarkStart w:id="0" w:name="OLE_LINK44"/>
      <w:bookmarkStart w:id="1" w:name="OLE_LINK45"/>
    </w:p>
    <w:p w:rsidR="00886CFB" w:rsidRPr="00906B0E" w:rsidRDefault="00886CFB" w:rsidP="00906B0E">
      <w:pPr>
        <w:jc w:val="center"/>
        <w:rPr>
          <w:lang w:val="pt-PT"/>
        </w:rPr>
      </w:pPr>
    </w:p>
    <w:p w:rsidR="00886CFB" w:rsidRPr="00906B0E" w:rsidRDefault="00886CFB" w:rsidP="00906B0E">
      <w:pPr>
        <w:jc w:val="center"/>
        <w:rPr>
          <w:lang w:val="pt-PT"/>
        </w:rPr>
      </w:pPr>
    </w:p>
    <w:p w:rsidR="00886CFB" w:rsidRPr="00054DEE" w:rsidRDefault="00886CFB" w:rsidP="00906B0E">
      <w:pPr>
        <w:jc w:val="center"/>
        <w:rPr>
          <w:lang w:val="ro-RO"/>
        </w:rPr>
      </w:pPr>
      <w:r>
        <w:rPr>
          <w:lang w:val="ro-RO"/>
        </w:rPr>
        <w:t>SECŢIUNEA A PATRA</w:t>
      </w:r>
    </w:p>
    <w:p w:rsidR="00886CFB" w:rsidRPr="00054DEE" w:rsidRDefault="00886CFB" w:rsidP="00906B0E">
      <w:pPr>
        <w:jc w:val="center"/>
        <w:rPr>
          <w:lang w:val="ro-RO"/>
        </w:rPr>
      </w:pPr>
    </w:p>
    <w:p w:rsidR="00886CFB" w:rsidRPr="00054DEE" w:rsidRDefault="00886CFB" w:rsidP="00906B0E">
      <w:pPr>
        <w:jc w:val="center"/>
        <w:rPr>
          <w:lang w:val="ro-RO"/>
        </w:rPr>
      </w:pPr>
    </w:p>
    <w:p w:rsidR="00886CFB" w:rsidRPr="00054DEE" w:rsidRDefault="00886CFB" w:rsidP="00906B0E">
      <w:pPr>
        <w:jc w:val="center"/>
        <w:rPr>
          <w:lang w:val="ro-RO"/>
        </w:rPr>
      </w:pPr>
    </w:p>
    <w:p w:rsidR="00886CFB" w:rsidRPr="00054DEE" w:rsidRDefault="00886CFB" w:rsidP="00906B0E">
      <w:pPr>
        <w:jc w:val="center"/>
        <w:rPr>
          <w:lang w:val="ro-RO"/>
        </w:rPr>
      </w:pPr>
    </w:p>
    <w:p w:rsidR="00886CFB" w:rsidRDefault="00886CFB" w:rsidP="00906B0E">
      <w:pPr>
        <w:jc w:val="center"/>
        <w:rPr>
          <w:b/>
          <w:lang w:val="ro-RO"/>
        </w:rPr>
      </w:pPr>
      <w:bookmarkStart w:id="2" w:name="To"/>
      <w:r>
        <w:rPr>
          <w:b/>
          <w:lang w:val="ro-RO"/>
        </w:rPr>
        <w:t>DOSARUL</w:t>
      </w:r>
      <w:bookmarkEnd w:id="2"/>
    </w:p>
    <w:p w:rsidR="00886CFB" w:rsidRDefault="00886CFB" w:rsidP="00906B0E">
      <w:pPr>
        <w:jc w:val="center"/>
        <w:rPr>
          <w:b/>
          <w:lang w:val="ro-RO"/>
        </w:rPr>
      </w:pPr>
    </w:p>
    <w:p w:rsidR="00886CFB" w:rsidRDefault="00886CFB" w:rsidP="00906B0E">
      <w:pPr>
        <w:jc w:val="center"/>
        <w:rPr>
          <w:b/>
          <w:lang w:val="ro-RO"/>
        </w:rPr>
      </w:pPr>
      <w:bookmarkStart w:id="3" w:name="OLE_LINK43"/>
      <w:r>
        <w:rPr>
          <w:b/>
          <w:lang w:val="ro-RO"/>
        </w:rPr>
        <w:t>„</w:t>
      </w:r>
      <w:r w:rsidRPr="00054DEE">
        <w:rPr>
          <w:b/>
          <w:lang w:val="ro-RO"/>
        </w:rPr>
        <w:t>BRI</w:t>
      </w:r>
      <w:r>
        <w:rPr>
          <w:b/>
          <w:lang w:val="ro-RO"/>
        </w:rPr>
        <w:t>TO FERRINHO BEXIGA VILLA-NOVA</w:t>
      </w:r>
    </w:p>
    <w:p w:rsidR="00886CFB" w:rsidRDefault="00886CFB" w:rsidP="00906B0E">
      <w:pPr>
        <w:jc w:val="center"/>
        <w:rPr>
          <w:b/>
          <w:lang w:val="ro-RO"/>
        </w:rPr>
      </w:pPr>
      <w:r>
        <w:rPr>
          <w:b/>
          <w:lang w:val="ro-RO"/>
        </w:rPr>
        <w:t>Contra</w:t>
      </w:r>
    </w:p>
    <w:p w:rsidR="00886CFB" w:rsidRPr="00054DEE" w:rsidRDefault="00886CFB" w:rsidP="00906B0E">
      <w:pPr>
        <w:jc w:val="center"/>
        <w:rPr>
          <w:b/>
          <w:lang w:val="ro-RO"/>
        </w:rPr>
      </w:pPr>
      <w:r w:rsidRPr="00054DEE">
        <w:rPr>
          <w:b/>
          <w:lang w:val="ro-RO"/>
        </w:rPr>
        <w:t>PORTUGAL</w:t>
      </w:r>
      <w:r>
        <w:rPr>
          <w:b/>
          <w:lang w:val="ro-RO"/>
        </w:rPr>
        <w:t>IEI”</w:t>
      </w:r>
    </w:p>
    <w:p w:rsidR="00886CFB" w:rsidRPr="00054DEE" w:rsidRDefault="00886CFB" w:rsidP="00906B0E">
      <w:pPr>
        <w:jc w:val="center"/>
        <w:rPr>
          <w:lang w:val="ro-RO"/>
        </w:rPr>
      </w:pPr>
    </w:p>
    <w:p w:rsidR="00886CFB" w:rsidRPr="00054DEE" w:rsidRDefault="00886CFB" w:rsidP="00906B0E">
      <w:pPr>
        <w:jc w:val="center"/>
        <w:rPr>
          <w:szCs w:val="24"/>
          <w:lang w:val="ro-RO"/>
        </w:rPr>
      </w:pPr>
      <w:r w:rsidRPr="00054DEE">
        <w:rPr>
          <w:i/>
          <w:lang w:val="ro-RO"/>
        </w:rPr>
        <w:t>(</w:t>
      </w:r>
      <w:r>
        <w:rPr>
          <w:i/>
          <w:lang w:val="ro-RO"/>
        </w:rPr>
        <w:t xml:space="preserve">Cererea nr. </w:t>
      </w:r>
      <w:r w:rsidRPr="00054DEE">
        <w:rPr>
          <w:i/>
          <w:lang w:val="ro-RO"/>
        </w:rPr>
        <w:t>69436/10)</w:t>
      </w:r>
    </w:p>
    <w:bookmarkEnd w:id="3"/>
    <w:p w:rsidR="00886CFB" w:rsidRPr="00054DEE" w:rsidRDefault="00886CFB" w:rsidP="00906B0E">
      <w:pPr>
        <w:jc w:val="center"/>
        <w:rPr>
          <w:szCs w:val="24"/>
          <w:lang w:val="ro-RO"/>
        </w:rPr>
      </w:pPr>
    </w:p>
    <w:p w:rsidR="00886CFB" w:rsidRPr="00054DEE" w:rsidRDefault="00886CFB" w:rsidP="00906B0E">
      <w:pPr>
        <w:jc w:val="center"/>
        <w:rPr>
          <w:szCs w:val="24"/>
          <w:lang w:val="ro-RO"/>
        </w:rPr>
      </w:pPr>
    </w:p>
    <w:p w:rsidR="00886CFB" w:rsidRPr="00054DEE" w:rsidRDefault="00886CFB" w:rsidP="00906B0E">
      <w:pPr>
        <w:jc w:val="center"/>
        <w:rPr>
          <w:szCs w:val="24"/>
          <w:lang w:val="ro-RO"/>
        </w:rPr>
      </w:pPr>
    </w:p>
    <w:p w:rsidR="00886CFB" w:rsidRPr="00054DEE" w:rsidRDefault="00886CFB" w:rsidP="00906B0E">
      <w:pPr>
        <w:jc w:val="center"/>
        <w:rPr>
          <w:szCs w:val="24"/>
          <w:lang w:val="ro-RO"/>
        </w:rPr>
      </w:pPr>
    </w:p>
    <w:p w:rsidR="00886CFB" w:rsidRPr="00054DEE" w:rsidRDefault="00886CFB" w:rsidP="00906B0E">
      <w:pPr>
        <w:jc w:val="center"/>
        <w:rPr>
          <w:szCs w:val="24"/>
          <w:lang w:val="ro-RO"/>
        </w:rPr>
      </w:pPr>
    </w:p>
    <w:p w:rsidR="00886CFB" w:rsidRPr="00054DEE" w:rsidRDefault="00886CFB" w:rsidP="00906B0E">
      <w:pPr>
        <w:jc w:val="center"/>
        <w:rPr>
          <w:szCs w:val="24"/>
          <w:lang w:val="ro-RO"/>
        </w:rPr>
      </w:pPr>
    </w:p>
    <w:p w:rsidR="00886CFB" w:rsidRPr="00054DEE" w:rsidRDefault="00886CFB" w:rsidP="00906B0E">
      <w:pPr>
        <w:jc w:val="center"/>
        <w:rPr>
          <w:szCs w:val="24"/>
          <w:lang w:val="ro-RO"/>
        </w:rPr>
      </w:pPr>
    </w:p>
    <w:p w:rsidR="00886CFB" w:rsidRPr="00054DEE" w:rsidRDefault="00886CFB" w:rsidP="00906B0E">
      <w:pPr>
        <w:jc w:val="center"/>
        <w:rPr>
          <w:szCs w:val="24"/>
          <w:lang w:val="ro-RO"/>
        </w:rPr>
      </w:pPr>
    </w:p>
    <w:p w:rsidR="00886CFB" w:rsidRPr="00054DEE" w:rsidRDefault="00886CFB" w:rsidP="00906B0E">
      <w:pPr>
        <w:jc w:val="center"/>
        <w:rPr>
          <w:szCs w:val="24"/>
          <w:lang w:val="ro-RO"/>
        </w:rPr>
      </w:pPr>
      <w:r>
        <w:rPr>
          <w:szCs w:val="24"/>
          <w:lang w:val="ro-RO"/>
        </w:rPr>
        <w:t>HOTĂRÂRE</w:t>
      </w:r>
    </w:p>
    <w:p w:rsidR="00886CFB" w:rsidRPr="00054DEE" w:rsidRDefault="00886CFB" w:rsidP="00906B0E">
      <w:pPr>
        <w:jc w:val="center"/>
        <w:rPr>
          <w:szCs w:val="24"/>
          <w:lang w:val="ro-RO"/>
        </w:rPr>
      </w:pPr>
    </w:p>
    <w:p w:rsidR="00886CFB" w:rsidRPr="00054DEE" w:rsidRDefault="00886CFB" w:rsidP="00906B0E">
      <w:pPr>
        <w:jc w:val="center"/>
        <w:rPr>
          <w:szCs w:val="24"/>
          <w:lang w:val="ro-RO"/>
        </w:rPr>
      </w:pPr>
    </w:p>
    <w:p w:rsidR="00886CFB" w:rsidRPr="00054DEE" w:rsidRDefault="00886CFB" w:rsidP="00906B0E">
      <w:pPr>
        <w:jc w:val="center"/>
        <w:rPr>
          <w:szCs w:val="24"/>
          <w:lang w:val="ro-RO"/>
        </w:rPr>
      </w:pPr>
      <w:r w:rsidRPr="00054DEE">
        <w:rPr>
          <w:szCs w:val="24"/>
          <w:lang w:val="ro-RO"/>
        </w:rPr>
        <w:t>STRASBOURG</w:t>
      </w:r>
    </w:p>
    <w:p w:rsidR="00886CFB" w:rsidRPr="00054DEE" w:rsidRDefault="00886CFB" w:rsidP="00906B0E">
      <w:pPr>
        <w:jc w:val="center"/>
        <w:rPr>
          <w:szCs w:val="24"/>
          <w:lang w:val="ro-RO"/>
        </w:rPr>
      </w:pPr>
    </w:p>
    <w:p w:rsidR="00886CFB" w:rsidRPr="00054DEE" w:rsidRDefault="00886CFB" w:rsidP="00906B0E">
      <w:pPr>
        <w:jc w:val="center"/>
        <w:rPr>
          <w:szCs w:val="24"/>
          <w:lang w:val="ro-RO"/>
        </w:rPr>
      </w:pPr>
      <w:r w:rsidRPr="00054DEE">
        <w:rPr>
          <w:szCs w:val="24"/>
          <w:lang w:val="ro-RO"/>
        </w:rPr>
        <w:t>1</w:t>
      </w:r>
      <w:r>
        <w:rPr>
          <w:szCs w:val="24"/>
          <w:lang w:val="ro-RO"/>
        </w:rPr>
        <w:t xml:space="preserve"> </w:t>
      </w:r>
      <w:r w:rsidRPr="00054DEE">
        <w:rPr>
          <w:szCs w:val="24"/>
          <w:lang w:val="ro-RO"/>
        </w:rPr>
        <w:t>d</w:t>
      </w:r>
      <w:r>
        <w:rPr>
          <w:szCs w:val="24"/>
          <w:lang w:val="ro-RO"/>
        </w:rPr>
        <w:t xml:space="preserve">ecembrie </w:t>
      </w:r>
      <w:r w:rsidRPr="00054DEE">
        <w:rPr>
          <w:szCs w:val="24"/>
          <w:lang w:val="ro-RO"/>
        </w:rPr>
        <w:t>2015</w:t>
      </w:r>
    </w:p>
    <w:p w:rsidR="00886CFB" w:rsidRPr="00054DEE" w:rsidRDefault="00886CFB" w:rsidP="00906B0E">
      <w:pPr>
        <w:jc w:val="center"/>
        <w:rPr>
          <w:szCs w:val="24"/>
          <w:lang w:val="ro-RO"/>
        </w:rPr>
      </w:pPr>
    </w:p>
    <w:p w:rsidR="00886CFB" w:rsidRPr="00054DEE" w:rsidRDefault="00886CFB" w:rsidP="00906B0E">
      <w:pPr>
        <w:jc w:val="center"/>
        <w:rPr>
          <w:szCs w:val="24"/>
          <w:lang w:val="ro-RO"/>
        </w:rPr>
      </w:pPr>
    </w:p>
    <w:p w:rsidR="00886CFB" w:rsidRPr="00054DEE" w:rsidRDefault="00886CFB" w:rsidP="00906B0E">
      <w:pPr>
        <w:jc w:val="center"/>
        <w:rPr>
          <w:szCs w:val="24"/>
          <w:lang w:val="ro-RO"/>
        </w:rPr>
      </w:pPr>
    </w:p>
    <w:p w:rsidR="00886CFB" w:rsidRPr="00054DEE" w:rsidRDefault="00886CFB" w:rsidP="00906B0E">
      <w:pPr>
        <w:jc w:val="center"/>
        <w:rPr>
          <w:szCs w:val="24"/>
          <w:lang w:val="ro-RO"/>
        </w:rPr>
      </w:pPr>
    </w:p>
    <w:p w:rsidR="00886CFB" w:rsidRPr="00054DEE" w:rsidRDefault="00886CFB" w:rsidP="00906B0E">
      <w:pPr>
        <w:jc w:val="center"/>
        <w:rPr>
          <w:szCs w:val="24"/>
          <w:lang w:val="ro-RO"/>
        </w:rPr>
      </w:pPr>
    </w:p>
    <w:p w:rsidR="00886CFB" w:rsidRPr="00054DEE" w:rsidRDefault="00886CFB" w:rsidP="00906B0E">
      <w:pPr>
        <w:rPr>
          <w:szCs w:val="24"/>
          <w:lang w:val="ro-RO"/>
        </w:rPr>
      </w:pPr>
      <w:r>
        <w:rPr>
          <w:i/>
          <w:sz w:val="22"/>
          <w:szCs w:val="24"/>
          <w:lang w:val="ro-RO"/>
        </w:rPr>
        <w:t xml:space="preserve">Această hotărâre va deveni definitivă în condiţiile definite în articolul </w:t>
      </w:r>
      <w:r w:rsidRPr="00054DEE">
        <w:rPr>
          <w:i/>
          <w:sz w:val="22"/>
          <w:szCs w:val="24"/>
          <w:lang w:val="ro-RO"/>
        </w:rPr>
        <w:t>44</w:t>
      </w:r>
      <w:r>
        <w:rPr>
          <w:i/>
          <w:sz w:val="22"/>
          <w:szCs w:val="24"/>
          <w:lang w:val="ro-RO"/>
        </w:rPr>
        <w:t xml:space="preserve"> </w:t>
      </w:r>
      <w:r w:rsidRPr="00054DEE">
        <w:rPr>
          <w:i/>
          <w:sz w:val="22"/>
          <w:szCs w:val="24"/>
          <w:lang w:val="ro-RO"/>
        </w:rPr>
        <w:t>§</w:t>
      </w:r>
      <w:r>
        <w:rPr>
          <w:i/>
          <w:sz w:val="22"/>
          <w:szCs w:val="24"/>
          <w:lang w:val="ro-RO"/>
        </w:rPr>
        <w:t xml:space="preserve"> </w:t>
      </w:r>
      <w:r w:rsidRPr="00054DEE">
        <w:rPr>
          <w:i/>
          <w:sz w:val="22"/>
          <w:szCs w:val="24"/>
          <w:lang w:val="ro-RO"/>
        </w:rPr>
        <w:t>2</w:t>
      </w:r>
      <w:r>
        <w:rPr>
          <w:i/>
          <w:sz w:val="22"/>
          <w:szCs w:val="24"/>
          <w:lang w:val="ro-RO"/>
        </w:rPr>
        <w:t xml:space="preserve"> al Convenţiei</w:t>
      </w:r>
      <w:r w:rsidRPr="00054DEE">
        <w:rPr>
          <w:i/>
          <w:sz w:val="22"/>
          <w:szCs w:val="24"/>
          <w:lang w:val="ro-RO"/>
        </w:rPr>
        <w:t>.</w:t>
      </w:r>
      <w:r>
        <w:rPr>
          <w:i/>
          <w:sz w:val="22"/>
          <w:szCs w:val="24"/>
          <w:lang w:val="ro-RO"/>
        </w:rPr>
        <w:t xml:space="preserve"> Hotărârea poate fi supusă unor modificări ale formei</w:t>
      </w:r>
      <w:r w:rsidRPr="00054DEE">
        <w:rPr>
          <w:i/>
          <w:sz w:val="22"/>
          <w:szCs w:val="24"/>
          <w:lang w:val="ro-RO"/>
        </w:rPr>
        <w:t>.</w:t>
      </w:r>
    </w:p>
    <w:p w:rsidR="00886CFB" w:rsidRPr="00054DEE" w:rsidRDefault="00886CFB" w:rsidP="00906B0E">
      <w:pPr>
        <w:rPr>
          <w:szCs w:val="24"/>
          <w:lang w:val="ro-RO"/>
        </w:rPr>
      </w:pPr>
    </w:p>
    <w:p w:rsidR="00886CFB" w:rsidRPr="00054DEE" w:rsidRDefault="00886CFB" w:rsidP="00906B0E">
      <w:pPr>
        <w:pStyle w:val="JuCase"/>
        <w:rPr>
          <w:lang w:val="ro-RO"/>
        </w:rPr>
        <w:sectPr w:rsidR="00886CFB" w:rsidRPr="00054DEE" w:rsidSect="00DD69E5">
          <w:headerReference w:type="default" r:id="rId7"/>
          <w:headerReference w:type="first" r:id="rId8"/>
          <w:footerReference w:type="first" r:id="rId9"/>
          <w:pgSz w:w="11906" w:h="16838" w:code="9"/>
          <w:pgMar w:top="2274" w:right="2274" w:bottom="2274" w:left="2274" w:header="1701" w:footer="720" w:gutter="0"/>
          <w:pgNumType w:start="1"/>
          <w:cols w:space="720"/>
          <w:titlePg/>
          <w:docGrid w:linePitch="326"/>
        </w:sectPr>
      </w:pPr>
    </w:p>
    <w:p w:rsidR="00886CFB" w:rsidRPr="00054DEE" w:rsidRDefault="00886CFB" w:rsidP="00906B0E">
      <w:pPr>
        <w:pStyle w:val="JuCase"/>
        <w:rPr>
          <w:lang w:val="ro-RO"/>
        </w:rPr>
      </w:pPr>
      <w:r>
        <w:rPr>
          <w:lang w:val="ro-RO"/>
        </w:rPr>
        <w:lastRenderedPageBreak/>
        <w:t>În dosarul „</w:t>
      </w:r>
      <w:r w:rsidRPr="00054DEE">
        <w:rPr>
          <w:lang w:val="ro-RO"/>
        </w:rPr>
        <w:t>Bri</w:t>
      </w:r>
      <w:r>
        <w:rPr>
          <w:lang w:val="ro-RO"/>
        </w:rPr>
        <w:t xml:space="preserve">to Ferrinho Bexiga Villa-Nova contra </w:t>
      </w:r>
      <w:r w:rsidRPr="00054DEE">
        <w:rPr>
          <w:lang w:val="ro-RO"/>
        </w:rPr>
        <w:t>Portugal</w:t>
      </w:r>
      <w:r>
        <w:rPr>
          <w:lang w:val="ro-RO"/>
        </w:rPr>
        <w:t>iei”</w:t>
      </w:r>
      <w:r w:rsidRPr="00054DEE">
        <w:rPr>
          <w:lang w:val="ro-RO"/>
        </w:rPr>
        <w:t>,</w:t>
      </w:r>
    </w:p>
    <w:p w:rsidR="00886CFB" w:rsidRDefault="00886CFB" w:rsidP="00906B0E">
      <w:pPr>
        <w:pStyle w:val="ECHRPara"/>
        <w:rPr>
          <w:lang w:val="ro-RO"/>
        </w:rPr>
      </w:pPr>
    </w:p>
    <w:p w:rsidR="00886CFB" w:rsidRDefault="00886CFB" w:rsidP="00906B0E">
      <w:pPr>
        <w:pStyle w:val="ECHRPara"/>
        <w:rPr>
          <w:lang w:val="ro-RO"/>
        </w:rPr>
      </w:pPr>
      <w:r>
        <w:rPr>
          <w:lang w:val="ro-RO"/>
        </w:rPr>
        <w:t xml:space="preserve">Curtea Europeană a Drepturilor Omului </w:t>
      </w:r>
      <w:r w:rsidRPr="00054DEE">
        <w:rPr>
          <w:lang w:val="ro-RO"/>
        </w:rPr>
        <w:t>(</w:t>
      </w:r>
      <w:r>
        <w:rPr>
          <w:lang w:val="ro-RO"/>
        </w:rPr>
        <w:t>secţiunea a patra</w:t>
      </w:r>
      <w:r w:rsidRPr="00054DEE">
        <w:rPr>
          <w:lang w:val="ro-RO"/>
        </w:rPr>
        <w:t>),</w:t>
      </w:r>
      <w:r>
        <w:rPr>
          <w:lang w:val="ro-RO"/>
        </w:rPr>
        <w:t xml:space="preserve"> întrunită în cadrul unui complet alcătuit </w:t>
      </w:r>
      <w:r w:rsidRPr="001D1284">
        <w:rPr>
          <w:lang w:val="ro-RO"/>
        </w:rPr>
        <w:t>din</w:t>
      </w:r>
      <w:r w:rsidRPr="00054DEE">
        <w:rPr>
          <w:lang w:val="ro-RO"/>
        </w:rPr>
        <w:t>:</w:t>
      </w:r>
    </w:p>
    <w:p w:rsidR="00886CFB" w:rsidRPr="00054DEE" w:rsidRDefault="00886CFB" w:rsidP="00906B0E">
      <w:pPr>
        <w:pStyle w:val="ECHRPara"/>
        <w:rPr>
          <w:lang w:val="ro-RO"/>
        </w:rPr>
      </w:pPr>
    </w:p>
    <w:p w:rsidR="00886CFB" w:rsidRPr="00054DEE" w:rsidRDefault="00886CFB" w:rsidP="00906B0E">
      <w:pPr>
        <w:pStyle w:val="ECHRDecisionBody"/>
        <w:rPr>
          <w:lang w:val="ro-RO"/>
        </w:rPr>
      </w:pPr>
      <w:r w:rsidRPr="00054DEE">
        <w:rPr>
          <w:lang w:val="ro-RO"/>
        </w:rPr>
        <w:tab/>
        <w:t>András</w:t>
      </w:r>
      <w:r>
        <w:rPr>
          <w:lang w:val="ro-RO"/>
        </w:rPr>
        <w:t xml:space="preserve"> </w:t>
      </w:r>
      <w:r w:rsidRPr="00054DEE">
        <w:rPr>
          <w:lang w:val="ro-RO"/>
        </w:rPr>
        <w:t>Sajó,</w:t>
      </w:r>
      <w:r>
        <w:rPr>
          <w:i/>
          <w:lang w:val="ro-RO"/>
        </w:rPr>
        <w:t xml:space="preserve"> </w:t>
      </w:r>
      <w:r w:rsidRPr="00054DEE">
        <w:rPr>
          <w:i/>
          <w:lang w:val="ro-RO"/>
        </w:rPr>
        <w:t>pr</w:t>
      </w:r>
      <w:r>
        <w:rPr>
          <w:i/>
          <w:lang w:val="ro-RO"/>
        </w:rPr>
        <w:t>eşedinte</w:t>
      </w:r>
      <w:r w:rsidRPr="00054DEE">
        <w:rPr>
          <w:i/>
          <w:lang w:val="ro-RO"/>
        </w:rPr>
        <w:t>,</w:t>
      </w:r>
      <w:r w:rsidRPr="00054DEE">
        <w:rPr>
          <w:i/>
          <w:lang w:val="ro-RO"/>
        </w:rPr>
        <w:br/>
      </w:r>
      <w:r w:rsidRPr="00054DEE">
        <w:rPr>
          <w:lang w:val="ro-RO"/>
        </w:rPr>
        <w:tab/>
        <w:t>Vincent</w:t>
      </w:r>
      <w:r>
        <w:rPr>
          <w:lang w:val="ro-RO"/>
        </w:rPr>
        <w:t xml:space="preserve"> </w:t>
      </w:r>
      <w:r w:rsidRPr="00054DEE">
        <w:rPr>
          <w:lang w:val="ro-RO"/>
        </w:rPr>
        <w:t>A.</w:t>
      </w:r>
      <w:r>
        <w:rPr>
          <w:lang w:val="ro-RO"/>
        </w:rPr>
        <w:t xml:space="preserve"> </w:t>
      </w:r>
      <w:r w:rsidRPr="00054DEE">
        <w:rPr>
          <w:lang w:val="ro-RO"/>
        </w:rPr>
        <w:t>De</w:t>
      </w:r>
      <w:r>
        <w:rPr>
          <w:lang w:val="ro-RO"/>
        </w:rPr>
        <w:t xml:space="preserve"> </w:t>
      </w:r>
      <w:r w:rsidRPr="00054DEE">
        <w:rPr>
          <w:lang w:val="ro-RO"/>
        </w:rPr>
        <w:t>Gaetano,</w:t>
      </w:r>
      <w:r w:rsidRPr="00054DEE">
        <w:rPr>
          <w:i/>
          <w:lang w:val="ro-RO"/>
        </w:rPr>
        <w:br/>
      </w:r>
      <w:r w:rsidRPr="00054DEE">
        <w:rPr>
          <w:lang w:val="ro-RO"/>
        </w:rPr>
        <w:tab/>
        <w:t>Boštjan</w:t>
      </w:r>
      <w:r>
        <w:rPr>
          <w:lang w:val="ro-RO"/>
        </w:rPr>
        <w:t xml:space="preserve"> </w:t>
      </w:r>
      <w:r w:rsidRPr="00054DEE">
        <w:rPr>
          <w:lang w:val="ro-RO"/>
        </w:rPr>
        <w:t>M.</w:t>
      </w:r>
      <w:r>
        <w:rPr>
          <w:lang w:val="ro-RO"/>
        </w:rPr>
        <w:t xml:space="preserve"> </w:t>
      </w:r>
      <w:r w:rsidRPr="00054DEE">
        <w:rPr>
          <w:lang w:val="ro-RO"/>
        </w:rPr>
        <w:t>Zupančič,</w:t>
      </w:r>
      <w:r w:rsidRPr="00054DEE">
        <w:rPr>
          <w:i/>
          <w:lang w:val="ro-RO"/>
        </w:rPr>
        <w:br/>
      </w:r>
      <w:r w:rsidRPr="00054DEE">
        <w:rPr>
          <w:lang w:val="ro-RO"/>
        </w:rPr>
        <w:tab/>
        <w:t>Paulo</w:t>
      </w:r>
      <w:r>
        <w:rPr>
          <w:lang w:val="ro-RO"/>
        </w:rPr>
        <w:t xml:space="preserve"> </w:t>
      </w:r>
      <w:r w:rsidRPr="00054DEE">
        <w:rPr>
          <w:lang w:val="ro-RO"/>
        </w:rPr>
        <w:t>Pinto</w:t>
      </w:r>
      <w:r>
        <w:rPr>
          <w:lang w:val="ro-RO"/>
        </w:rPr>
        <w:t xml:space="preserve"> </w:t>
      </w:r>
      <w:r w:rsidRPr="00054DEE">
        <w:rPr>
          <w:lang w:val="ro-RO"/>
        </w:rPr>
        <w:t>de</w:t>
      </w:r>
      <w:r>
        <w:rPr>
          <w:lang w:val="ro-RO"/>
        </w:rPr>
        <w:t xml:space="preserve"> </w:t>
      </w:r>
      <w:r w:rsidRPr="00054DEE">
        <w:rPr>
          <w:lang w:val="ro-RO"/>
        </w:rPr>
        <w:t>Albuquerque,</w:t>
      </w:r>
      <w:r w:rsidRPr="00054DEE">
        <w:rPr>
          <w:i/>
          <w:lang w:val="ro-RO"/>
        </w:rPr>
        <w:br/>
      </w:r>
      <w:r w:rsidRPr="00054DEE">
        <w:rPr>
          <w:lang w:val="ro-RO"/>
        </w:rPr>
        <w:tab/>
        <w:t>Egidijus</w:t>
      </w:r>
      <w:r>
        <w:rPr>
          <w:lang w:val="ro-RO"/>
        </w:rPr>
        <w:t xml:space="preserve"> </w:t>
      </w:r>
      <w:r w:rsidRPr="00054DEE">
        <w:rPr>
          <w:lang w:val="ro-RO"/>
        </w:rPr>
        <w:t>Kūris,</w:t>
      </w:r>
      <w:r w:rsidRPr="00054DEE">
        <w:rPr>
          <w:i/>
          <w:lang w:val="ro-RO"/>
        </w:rPr>
        <w:br/>
      </w:r>
      <w:r w:rsidRPr="00054DEE">
        <w:rPr>
          <w:lang w:val="ro-RO"/>
        </w:rPr>
        <w:tab/>
        <w:t>Iulia</w:t>
      </w:r>
      <w:r>
        <w:rPr>
          <w:lang w:val="ro-RO"/>
        </w:rPr>
        <w:t xml:space="preserve"> </w:t>
      </w:r>
      <w:r w:rsidRPr="00054DEE">
        <w:rPr>
          <w:lang w:val="ro-RO"/>
        </w:rPr>
        <w:t>Antoanella</w:t>
      </w:r>
      <w:r>
        <w:rPr>
          <w:lang w:val="ro-RO"/>
        </w:rPr>
        <w:t xml:space="preserve"> </w:t>
      </w:r>
      <w:r w:rsidRPr="00054DEE">
        <w:rPr>
          <w:lang w:val="ro-RO"/>
        </w:rPr>
        <w:t>Motoc,</w:t>
      </w:r>
      <w:r w:rsidRPr="00054DEE">
        <w:rPr>
          <w:i/>
          <w:lang w:val="ro-RO"/>
        </w:rPr>
        <w:br/>
      </w:r>
      <w:r w:rsidRPr="00054DEE">
        <w:rPr>
          <w:lang w:val="ro-RO"/>
        </w:rPr>
        <w:tab/>
        <w:t>Gabriele</w:t>
      </w:r>
      <w:r>
        <w:rPr>
          <w:lang w:val="ro-RO"/>
        </w:rPr>
        <w:t xml:space="preserve"> </w:t>
      </w:r>
      <w:r w:rsidRPr="00054DEE">
        <w:rPr>
          <w:lang w:val="ro-RO"/>
        </w:rPr>
        <w:t>Kucsko-Stadlmayer,</w:t>
      </w:r>
      <w:r>
        <w:rPr>
          <w:i/>
          <w:lang w:val="ro-RO"/>
        </w:rPr>
        <w:t xml:space="preserve"> judecători</w:t>
      </w:r>
      <w:r w:rsidRPr="00054DEE">
        <w:rPr>
          <w:i/>
          <w:lang w:val="ro-RO"/>
        </w:rPr>
        <w:t>,</w:t>
      </w:r>
      <w:r>
        <w:rPr>
          <w:i/>
          <w:lang w:val="ro-RO"/>
        </w:rPr>
        <w:t xml:space="preserve"> </w:t>
      </w:r>
      <w:r w:rsidRPr="00054DEE">
        <w:rPr>
          <w:lang w:val="ro-RO"/>
        </w:rPr>
        <w:br/>
      </w:r>
      <w:r>
        <w:rPr>
          <w:lang w:val="ro-RO"/>
        </w:rPr>
        <w:tab/>
        <w:t xml:space="preserve">şi </w:t>
      </w:r>
      <w:r w:rsidRPr="00054DEE">
        <w:rPr>
          <w:lang w:val="ro-RO"/>
        </w:rPr>
        <w:t>Françoise</w:t>
      </w:r>
      <w:r>
        <w:rPr>
          <w:lang w:val="ro-RO"/>
        </w:rPr>
        <w:t xml:space="preserve"> </w:t>
      </w:r>
      <w:r w:rsidRPr="00054DEE">
        <w:rPr>
          <w:lang w:val="ro-RO"/>
        </w:rPr>
        <w:t>Elens-Passos,</w:t>
      </w:r>
      <w:r>
        <w:rPr>
          <w:lang w:val="ro-RO"/>
        </w:rPr>
        <w:t xml:space="preserve"> </w:t>
      </w:r>
      <w:r>
        <w:rPr>
          <w:i/>
          <w:lang w:val="ro-RO"/>
        </w:rPr>
        <w:t>grefier de şedinţă</w:t>
      </w:r>
      <w:r w:rsidRPr="00054DEE">
        <w:rPr>
          <w:lang w:val="ro-RO"/>
        </w:rPr>
        <w:t>,</w:t>
      </w:r>
    </w:p>
    <w:p w:rsidR="00886CFB" w:rsidRDefault="00886CFB" w:rsidP="00906B0E">
      <w:pPr>
        <w:pStyle w:val="ECHRPara"/>
        <w:rPr>
          <w:lang w:val="ro-RO"/>
        </w:rPr>
      </w:pPr>
    </w:p>
    <w:p w:rsidR="00886CFB" w:rsidRPr="00054DEE" w:rsidRDefault="00886CFB" w:rsidP="00906B0E">
      <w:pPr>
        <w:pStyle w:val="ECHRPara"/>
        <w:rPr>
          <w:lang w:val="ro-RO"/>
        </w:rPr>
      </w:pPr>
      <w:r>
        <w:rPr>
          <w:lang w:val="ro-RO"/>
        </w:rPr>
        <w:t xml:space="preserve">După ce a deliberat în camera de consiliu pe data de 10 noiembrie </w:t>
      </w:r>
      <w:r w:rsidRPr="00054DEE">
        <w:rPr>
          <w:lang w:val="ro-RO"/>
        </w:rPr>
        <w:t>2015,</w:t>
      </w:r>
      <w:r>
        <w:rPr>
          <w:lang w:val="ro-RO"/>
        </w:rPr>
        <w:t xml:space="preserve"> completul pronunţă următoarea hotărâre</w:t>
      </w:r>
      <w:r w:rsidRPr="00054DEE">
        <w:rPr>
          <w:lang w:val="ro-RO"/>
        </w:rPr>
        <w:t>,</w:t>
      </w:r>
      <w:r>
        <w:rPr>
          <w:lang w:val="ro-RO"/>
        </w:rPr>
        <w:t xml:space="preserve"> </w:t>
      </w:r>
      <w:r w:rsidRPr="00054DEE">
        <w:rPr>
          <w:lang w:val="ro-RO"/>
        </w:rPr>
        <w:t>adopt</w:t>
      </w:r>
      <w:r>
        <w:rPr>
          <w:lang w:val="ro-RO"/>
        </w:rPr>
        <w:t>ată la data respectivă</w:t>
      </w:r>
      <w:r w:rsidRPr="00054DEE">
        <w:rPr>
          <w:lang w:val="ro-RO"/>
        </w:rPr>
        <w:t>:</w:t>
      </w:r>
    </w:p>
    <w:p w:rsidR="00886CFB" w:rsidRPr="00054DEE" w:rsidRDefault="00886CFB" w:rsidP="00906B0E">
      <w:pPr>
        <w:pStyle w:val="ECHRTitle1"/>
        <w:rPr>
          <w:lang w:val="ro-RO"/>
        </w:rPr>
      </w:pPr>
      <w:r w:rsidRPr="00054DEE">
        <w:rPr>
          <w:lang w:val="ro-RO"/>
        </w:rPr>
        <w:t>PROC</w:t>
      </w:r>
      <w:r>
        <w:rPr>
          <w:lang w:val="ro-RO"/>
        </w:rPr>
        <w:t>E</w:t>
      </w:r>
      <w:r w:rsidRPr="00054DEE">
        <w:rPr>
          <w:lang w:val="ro-RO"/>
        </w:rPr>
        <w:t>DUR</w:t>
      </w:r>
      <w:r>
        <w:rPr>
          <w:lang w:val="ro-RO"/>
        </w:rPr>
        <w:t>A</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1</w:t>
      </w:r>
      <w:r w:rsidRPr="00054DEE">
        <w:rPr>
          <w:lang w:val="ro-RO"/>
        </w:rPr>
        <w:fldChar w:fldCharType="end"/>
      </w:r>
      <w:r w:rsidRPr="00054DEE">
        <w:rPr>
          <w:lang w:val="ro-RO"/>
        </w:rPr>
        <w:t>.</w:t>
      </w:r>
      <w:r>
        <w:rPr>
          <w:lang w:val="ro-RO"/>
        </w:rPr>
        <w:t xml:space="preserve"> La originea dosarului se află o sesizare (nr. </w:t>
      </w:r>
      <w:r w:rsidRPr="00054DEE">
        <w:rPr>
          <w:lang w:val="ro-RO"/>
        </w:rPr>
        <w:t>69436/10)</w:t>
      </w:r>
      <w:r>
        <w:rPr>
          <w:lang w:val="ro-RO"/>
        </w:rPr>
        <w:t xml:space="preserve"> îndreptată împotriva Republicii Portugheze şi depusă de un cetăţean a acestui Stat</w:t>
      </w:r>
      <w:r w:rsidRPr="00054DEE">
        <w:rPr>
          <w:lang w:val="ro-RO"/>
        </w:rPr>
        <w:t>,</w:t>
      </w:r>
      <w:r>
        <w:rPr>
          <w:lang w:val="ro-RO"/>
        </w:rPr>
        <w:t xml:space="preserve"> D-na </w:t>
      </w:r>
      <w:r w:rsidRPr="00054DEE">
        <w:rPr>
          <w:lang w:val="ro-RO"/>
        </w:rPr>
        <w:t>Sílvia</w:t>
      </w:r>
      <w:r>
        <w:rPr>
          <w:lang w:val="ro-RO"/>
        </w:rPr>
        <w:t xml:space="preserve"> </w:t>
      </w:r>
      <w:r w:rsidRPr="00054DEE">
        <w:rPr>
          <w:lang w:val="ro-RO"/>
        </w:rPr>
        <w:t>Maria</w:t>
      </w:r>
      <w:r>
        <w:rPr>
          <w:lang w:val="ro-RO"/>
        </w:rPr>
        <w:t xml:space="preserve"> </w:t>
      </w:r>
      <w:r w:rsidRPr="00054DEE">
        <w:rPr>
          <w:lang w:val="ro-RO"/>
        </w:rPr>
        <w:t>de</w:t>
      </w:r>
      <w:r>
        <w:rPr>
          <w:lang w:val="ro-RO"/>
        </w:rPr>
        <w:t xml:space="preserve"> </w:t>
      </w:r>
      <w:r w:rsidRPr="00054DEE">
        <w:rPr>
          <w:lang w:val="ro-RO"/>
        </w:rPr>
        <w:t>Brito</w:t>
      </w:r>
      <w:r>
        <w:rPr>
          <w:lang w:val="ro-RO"/>
        </w:rPr>
        <w:t xml:space="preserve"> </w:t>
      </w:r>
      <w:r w:rsidRPr="00054DEE">
        <w:rPr>
          <w:lang w:val="ro-RO"/>
        </w:rPr>
        <w:t>Ferrinho</w:t>
      </w:r>
      <w:r>
        <w:rPr>
          <w:lang w:val="ro-RO"/>
        </w:rPr>
        <w:t xml:space="preserve"> </w:t>
      </w:r>
      <w:r w:rsidRPr="00054DEE">
        <w:rPr>
          <w:lang w:val="ro-RO"/>
        </w:rPr>
        <w:t>Bexiga</w:t>
      </w:r>
      <w:r>
        <w:rPr>
          <w:lang w:val="ro-RO"/>
        </w:rPr>
        <w:t xml:space="preserve"> </w:t>
      </w:r>
      <w:r w:rsidRPr="00054DEE">
        <w:rPr>
          <w:lang w:val="ro-RO"/>
        </w:rPr>
        <w:t>Villa-Nova</w:t>
      </w:r>
      <w:r>
        <w:rPr>
          <w:lang w:val="ro-RO"/>
        </w:rPr>
        <w:t xml:space="preserve"> („Reclamanta”</w:t>
      </w:r>
      <w:r w:rsidRPr="00054DEE">
        <w:rPr>
          <w:lang w:val="ro-RO"/>
        </w:rPr>
        <w:t>),</w:t>
      </w:r>
      <w:r>
        <w:rPr>
          <w:lang w:val="ro-RO"/>
        </w:rPr>
        <w:t xml:space="preserve"> care a sesizat Curtea pe 15 noiembrie </w:t>
      </w:r>
      <w:r w:rsidRPr="00054DEE">
        <w:rPr>
          <w:lang w:val="ro-RO"/>
        </w:rPr>
        <w:t>2010</w:t>
      </w:r>
      <w:r>
        <w:rPr>
          <w:lang w:val="ro-RO"/>
        </w:rPr>
        <w:t xml:space="preserve"> invocând Art. </w:t>
      </w:r>
      <w:r w:rsidRPr="00054DEE">
        <w:rPr>
          <w:lang w:val="ro-RO"/>
        </w:rPr>
        <w:t>34</w:t>
      </w:r>
      <w:r>
        <w:rPr>
          <w:lang w:val="ro-RO"/>
        </w:rPr>
        <w:t xml:space="preserve"> al Convenţiei </w:t>
      </w:r>
      <w:r w:rsidRPr="00682D6C">
        <w:rPr>
          <w:lang w:val="ro-RO"/>
        </w:rPr>
        <w:t>europe</w:t>
      </w:r>
      <w:r>
        <w:rPr>
          <w:lang w:val="ro-RO"/>
        </w:rPr>
        <w:t xml:space="preserve">ne </w:t>
      </w:r>
      <w:r w:rsidRPr="00682D6C">
        <w:rPr>
          <w:lang w:val="ro-RO"/>
        </w:rPr>
        <w:t>pentru</w:t>
      </w:r>
      <w:r>
        <w:rPr>
          <w:lang w:val="ro-RO"/>
        </w:rPr>
        <w:t xml:space="preserve"> </w:t>
      </w:r>
      <w:r w:rsidRPr="00682D6C">
        <w:rPr>
          <w:lang w:val="ro-RO"/>
        </w:rPr>
        <w:t>apărarea</w:t>
      </w:r>
      <w:r>
        <w:rPr>
          <w:lang w:val="ro-RO"/>
        </w:rPr>
        <w:t xml:space="preserve"> </w:t>
      </w:r>
      <w:r w:rsidRPr="00682D6C">
        <w:rPr>
          <w:lang w:val="ro-RO"/>
        </w:rPr>
        <w:t>drepturilor</w:t>
      </w:r>
      <w:r>
        <w:rPr>
          <w:lang w:val="ro-RO"/>
        </w:rPr>
        <w:t xml:space="preserve"> </w:t>
      </w:r>
      <w:r w:rsidRPr="00682D6C">
        <w:rPr>
          <w:lang w:val="ro-RO"/>
        </w:rPr>
        <w:t>omului</w:t>
      </w:r>
      <w:r>
        <w:rPr>
          <w:lang w:val="ro-RO"/>
        </w:rPr>
        <w:t xml:space="preserve"> </w:t>
      </w:r>
      <w:r w:rsidRPr="00682D6C">
        <w:rPr>
          <w:lang w:val="ro-RO"/>
        </w:rPr>
        <w:t>și</w:t>
      </w:r>
      <w:r>
        <w:rPr>
          <w:lang w:val="ro-RO"/>
        </w:rPr>
        <w:t xml:space="preserve"> </w:t>
      </w:r>
      <w:r w:rsidRPr="00682D6C">
        <w:rPr>
          <w:lang w:val="ro-RO"/>
        </w:rPr>
        <w:t>a</w:t>
      </w:r>
      <w:r>
        <w:rPr>
          <w:lang w:val="ro-RO"/>
        </w:rPr>
        <w:t xml:space="preserve"> </w:t>
      </w:r>
      <w:r w:rsidRPr="00682D6C">
        <w:rPr>
          <w:lang w:val="ro-RO"/>
        </w:rPr>
        <w:t>libertăților</w:t>
      </w:r>
      <w:r>
        <w:rPr>
          <w:lang w:val="ro-RO"/>
        </w:rPr>
        <w:t xml:space="preserve"> </w:t>
      </w:r>
      <w:r w:rsidRPr="00682D6C">
        <w:rPr>
          <w:lang w:val="ro-RO"/>
        </w:rPr>
        <w:t>fundamentale</w:t>
      </w:r>
      <w:r>
        <w:rPr>
          <w:lang w:val="ro-RO"/>
        </w:rPr>
        <w:t xml:space="preserve"> („Convenţia”</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2</w:t>
      </w:r>
      <w:r w:rsidRPr="00054DEE">
        <w:rPr>
          <w:lang w:val="ro-RO"/>
        </w:rPr>
        <w:fldChar w:fldCharType="end"/>
      </w:r>
      <w:r w:rsidRPr="00054DEE">
        <w:rPr>
          <w:lang w:val="ro-RO"/>
        </w:rPr>
        <w:t>.</w:t>
      </w:r>
      <w:r>
        <w:rPr>
          <w:lang w:val="ro-RO"/>
        </w:rPr>
        <w:t xml:space="preserve"> Reclamanta a fost autorizată să preia ea însăşi apărarea intereselor proprii în cadrul procedurii desfăşurate în faţa Curţii </w:t>
      </w:r>
      <w:r w:rsidRPr="00054DEE">
        <w:rPr>
          <w:lang w:val="ro-RO"/>
        </w:rPr>
        <w:t>(</w:t>
      </w:r>
      <w:r>
        <w:rPr>
          <w:lang w:val="ro-RO"/>
        </w:rPr>
        <w:t xml:space="preserve">Art. </w:t>
      </w:r>
      <w:r w:rsidRPr="00054DEE">
        <w:rPr>
          <w:lang w:val="ro-RO"/>
        </w:rPr>
        <w:t>36</w:t>
      </w:r>
      <w:r>
        <w:rPr>
          <w:lang w:val="ro-RO"/>
        </w:rPr>
        <w:t xml:space="preserve"> </w:t>
      </w:r>
      <w:r w:rsidRPr="00054DEE">
        <w:rPr>
          <w:lang w:val="ro-RO"/>
        </w:rPr>
        <w:t>§</w:t>
      </w:r>
      <w:r>
        <w:rPr>
          <w:lang w:val="ro-RO"/>
        </w:rPr>
        <w:t xml:space="preserve"> </w:t>
      </w:r>
      <w:r w:rsidRPr="00054DEE">
        <w:rPr>
          <w:lang w:val="ro-RO"/>
        </w:rPr>
        <w:t>2</w:t>
      </w:r>
      <w:r>
        <w:rPr>
          <w:lang w:val="ro-RO"/>
        </w:rPr>
        <w:t xml:space="preserve"> de la finalul regulamentului</w:t>
      </w:r>
      <w:r w:rsidRPr="00054DEE">
        <w:rPr>
          <w:lang w:val="ro-RO"/>
        </w:rPr>
        <w:t>).</w:t>
      </w:r>
      <w:r>
        <w:rPr>
          <w:lang w:val="ro-RO"/>
        </w:rPr>
        <w:t xml:space="preserve"> Guvernul portughez </w:t>
      </w:r>
      <w:r w:rsidRPr="00054DEE">
        <w:rPr>
          <w:lang w:val="ro-RO"/>
        </w:rPr>
        <w:t>(</w:t>
      </w:r>
      <w:r>
        <w:rPr>
          <w:lang w:val="ro-RO"/>
        </w:rPr>
        <w:t xml:space="preserve">„Guvernul”) a fost reprezentat de mandatara sa, D-na </w:t>
      </w:r>
      <w:r w:rsidRPr="00054DEE">
        <w:rPr>
          <w:lang w:val="ro-RO"/>
        </w:rPr>
        <w:t>M.</w:t>
      </w:r>
      <w:r>
        <w:rPr>
          <w:lang w:val="ro-RO"/>
        </w:rPr>
        <w:t xml:space="preserve"> </w:t>
      </w:r>
      <w:r w:rsidRPr="00054DEE">
        <w:rPr>
          <w:lang w:val="ro-RO"/>
        </w:rPr>
        <w:t>F.</w:t>
      </w:r>
      <w:r>
        <w:rPr>
          <w:lang w:val="ro-RO"/>
        </w:rPr>
        <w:t xml:space="preserve"> </w:t>
      </w:r>
      <w:r w:rsidRPr="00054DEE">
        <w:rPr>
          <w:lang w:val="ro-RO"/>
        </w:rPr>
        <w:t>da</w:t>
      </w:r>
      <w:r>
        <w:rPr>
          <w:lang w:val="ro-RO"/>
        </w:rPr>
        <w:t xml:space="preserve"> </w:t>
      </w:r>
      <w:r w:rsidRPr="00054DEE">
        <w:rPr>
          <w:lang w:val="ro-RO"/>
        </w:rPr>
        <w:t>Graça</w:t>
      </w:r>
      <w:r>
        <w:rPr>
          <w:lang w:val="ro-RO"/>
        </w:rPr>
        <w:t xml:space="preserve"> </w:t>
      </w:r>
      <w:r w:rsidRPr="00054DEE">
        <w:rPr>
          <w:lang w:val="ro-RO"/>
        </w:rPr>
        <w:t>Carvalho,</w:t>
      </w:r>
      <w:r>
        <w:rPr>
          <w:lang w:val="ro-RO"/>
        </w:rPr>
        <w:t xml:space="preserve"> </w:t>
      </w:r>
      <w:r w:rsidRPr="00054DEE">
        <w:rPr>
          <w:lang w:val="ro-RO"/>
        </w:rPr>
        <w:t>Procur</w:t>
      </w:r>
      <w:r>
        <w:rPr>
          <w:lang w:val="ro-RO"/>
        </w:rPr>
        <w:t>or general adjunct</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3</w:t>
      </w:r>
      <w:r w:rsidRPr="00054DEE">
        <w:rPr>
          <w:lang w:val="ro-RO"/>
        </w:rPr>
        <w:fldChar w:fldCharType="end"/>
      </w:r>
      <w:r w:rsidRPr="00054DEE">
        <w:rPr>
          <w:lang w:val="ro-RO"/>
        </w:rPr>
        <w:t>.</w:t>
      </w:r>
      <w:r>
        <w:rPr>
          <w:lang w:val="ro-RO"/>
        </w:rPr>
        <w:t xml:space="preserve"> Reclamanta denunţă consultarea extraselor conturilor sale bancare în cadrul unei proceduri penale deschise împotriva ei de către şeful autorităţii de combatere a fraudei fiscale</w:t>
      </w:r>
      <w:r w:rsidRPr="00054DEE">
        <w:rPr>
          <w:lang w:val="ro-RO"/>
        </w:rPr>
        <w:t>,</w:t>
      </w:r>
      <w:r>
        <w:rPr>
          <w:lang w:val="ro-RO"/>
        </w:rPr>
        <w:t xml:space="preserve"> şi invocă încălcarea secretului profesional pe care are obligaţia să îl respecte în baza profesiei sale de avocat</w:t>
      </w:r>
      <w:r w:rsidRPr="00054DEE">
        <w:rPr>
          <w:lang w:val="ro-RO"/>
        </w:rPr>
        <w:t>.</w:t>
      </w:r>
      <w:r>
        <w:rPr>
          <w:lang w:val="ro-RO"/>
        </w:rPr>
        <w:t xml:space="preserve"> Ea invocă articolele 6 şi </w:t>
      </w:r>
      <w:r w:rsidRPr="00054DEE">
        <w:rPr>
          <w:lang w:val="ro-RO"/>
        </w:rPr>
        <w:t>13</w:t>
      </w:r>
      <w:r>
        <w:rPr>
          <w:lang w:val="ro-RO"/>
        </w:rPr>
        <w:t xml:space="preserve"> ale Convenţiei</w:t>
      </w:r>
      <w:r w:rsidRPr="00054DEE">
        <w:rPr>
          <w:lang w:val="ro-RO"/>
        </w:rPr>
        <w:t>.</w:t>
      </w:r>
    </w:p>
    <w:p w:rsidR="00886CFB" w:rsidRPr="00054DEE" w:rsidRDefault="00886CFB" w:rsidP="00906B0E">
      <w:pPr>
        <w:pStyle w:val="ECHRPara"/>
        <w:rPr>
          <w:szCs w:val="24"/>
          <w:lang w:val="ro-RO" w:eastAsia="en-GB"/>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4</w:t>
      </w:r>
      <w:r w:rsidRPr="00054DEE">
        <w:rPr>
          <w:lang w:val="ro-RO"/>
        </w:rPr>
        <w:fldChar w:fldCharType="end"/>
      </w:r>
      <w:r w:rsidRPr="00054DEE">
        <w:rPr>
          <w:lang w:val="ro-RO"/>
        </w:rPr>
        <w:t>.</w:t>
      </w:r>
      <w:r>
        <w:rPr>
          <w:lang w:val="ro-RO"/>
        </w:rPr>
        <w:t xml:space="preserve"> Pe data de </w:t>
      </w:r>
      <w:r w:rsidRPr="00054DEE">
        <w:rPr>
          <w:szCs w:val="24"/>
          <w:lang w:val="ro-RO"/>
        </w:rPr>
        <w:t>1</w:t>
      </w:r>
      <w:r>
        <w:rPr>
          <w:szCs w:val="24"/>
          <w:lang w:val="ro-RO"/>
        </w:rPr>
        <w:t xml:space="preserve"> aprilie </w:t>
      </w:r>
      <w:r w:rsidRPr="00054DEE">
        <w:rPr>
          <w:szCs w:val="24"/>
          <w:lang w:val="ro-RO"/>
        </w:rPr>
        <w:t>2014</w:t>
      </w:r>
      <w:r w:rsidRPr="00054DEE">
        <w:rPr>
          <w:lang w:val="ro-RO"/>
        </w:rPr>
        <w:t>,</w:t>
      </w:r>
      <w:r>
        <w:rPr>
          <w:lang w:val="ro-RO"/>
        </w:rPr>
        <w:t xml:space="preserve"> petiţia a fost comunicată Guvernului</w:t>
      </w:r>
      <w:r w:rsidRPr="00054DEE">
        <w:rPr>
          <w:lang w:val="ro-RO"/>
        </w:rPr>
        <w:t>.</w:t>
      </w:r>
    </w:p>
    <w:p w:rsidR="00886CFB" w:rsidRPr="00054DEE" w:rsidRDefault="00886CFB" w:rsidP="00906B0E">
      <w:pPr>
        <w:pStyle w:val="ECHRTitle1"/>
        <w:tabs>
          <w:tab w:val="left" w:pos="5387"/>
        </w:tabs>
        <w:rPr>
          <w:lang w:val="ro-RO"/>
        </w:rPr>
      </w:pPr>
      <w:r>
        <w:rPr>
          <w:lang w:val="ro-RO"/>
        </w:rPr>
        <w:lastRenderedPageBreak/>
        <w:t>ÎN FAPT</w:t>
      </w:r>
      <w:bookmarkStart w:id="4" w:name="_GoBack"/>
      <w:bookmarkEnd w:id="4"/>
    </w:p>
    <w:p w:rsidR="00886CFB" w:rsidRPr="00054DEE" w:rsidRDefault="00886CFB" w:rsidP="00906B0E">
      <w:pPr>
        <w:pStyle w:val="ECHRHeading1"/>
        <w:rPr>
          <w:lang w:val="ro-RO"/>
        </w:rPr>
      </w:pPr>
      <w:r w:rsidRPr="00054DEE">
        <w:rPr>
          <w:lang w:val="ro-RO"/>
        </w:rPr>
        <w:t>I.</w:t>
      </w:r>
      <w:r>
        <w:rPr>
          <w:lang w:val="ro-RO"/>
        </w:rPr>
        <w:t xml:space="preserve"> </w:t>
      </w:r>
      <w:r w:rsidRPr="00150DE1">
        <w:rPr>
          <w:lang w:val="it-IT"/>
        </w:rPr>
        <w:t>ÎMPREJURĂRILE</w:t>
      </w:r>
      <w:r>
        <w:rPr>
          <w:lang w:val="it-IT"/>
        </w:rPr>
        <w:t xml:space="preserve"> </w:t>
      </w:r>
      <w:r w:rsidRPr="00150DE1">
        <w:rPr>
          <w:lang w:val="it-IT"/>
        </w:rPr>
        <w:t>SPEŢEI</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5</w:t>
      </w:r>
      <w:r w:rsidRPr="00054DEE">
        <w:rPr>
          <w:lang w:val="ro-RO"/>
        </w:rPr>
        <w:fldChar w:fldCharType="end"/>
      </w:r>
      <w:r w:rsidRPr="00054DEE">
        <w:rPr>
          <w:lang w:val="ro-RO"/>
        </w:rPr>
        <w:t>.</w:t>
      </w:r>
      <w:r>
        <w:rPr>
          <w:lang w:val="ro-RO"/>
        </w:rPr>
        <w:t xml:space="preserve"> Reclamanta s-a născut în </w:t>
      </w:r>
      <w:r w:rsidRPr="00054DEE">
        <w:rPr>
          <w:lang w:val="ro-RO"/>
        </w:rPr>
        <w:t>1969</w:t>
      </w:r>
      <w:r>
        <w:rPr>
          <w:lang w:val="ro-RO"/>
        </w:rPr>
        <w:t xml:space="preserve"> şi domiciliază în </w:t>
      </w:r>
      <w:r w:rsidRPr="00054DEE">
        <w:rPr>
          <w:lang w:val="ro-RO"/>
        </w:rPr>
        <w:t>Faro.</w:t>
      </w:r>
      <w:r>
        <w:rPr>
          <w:lang w:val="ro-RO"/>
        </w:rPr>
        <w:t xml:space="preserve"> Practică profesia de avocat</w:t>
      </w:r>
      <w:r w:rsidRPr="00054DEE">
        <w:rPr>
          <w:lang w:val="ro-RO"/>
        </w:rPr>
        <w:t>.</w:t>
      </w:r>
    </w:p>
    <w:p w:rsidR="00886CFB" w:rsidRPr="00054DEE" w:rsidRDefault="00886CFB" w:rsidP="00906B0E">
      <w:pPr>
        <w:pStyle w:val="ECHRPara"/>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6</w:t>
      </w:r>
      <w:r w:rsidRPr="00054DEE">
        <w:rPr>
          <w:lang w:val="ro-RO" w:eastAsia="fr-FR"/>
        </w:rPr>
        <w:fldChar w:fldCharType="end"/>
      </w:r>
      <w:r w:rsidRPr="00054DEE">
        <w:rPr>
          <w:lang w:val="ro-RO" w:eastAsia="fr-FR"/>
        </w:rPr>
        <w:t>.</w:t>
      </w:r>
      <w:r>
        <w:rPr>
          <w:lang w:val="ro-RO" w:eastAsia="fr-FR"/>
        </w:rPr>
        <w:t xml:space="preserve"> La o dată neprecizată</w:t>
      </w:r>
      <w:r w:rsidRPr="00054DEE">
        <w:rPr>
          <w:lang w:val="ro-RO" w:eastAsia="fr-FR"/>
        </w:rPr>
        <w:t>,</w:t>
      </w:r>
      <w:r>
        <w:rPr>
          <w:lang w:val="ro-RO" w:eastAsia="fr-FR"/>
        </w:rPr>
        <w:t xml:space="preserve"> administraţia fiscală a procedat la controlul contabilităţii societăţii de avocaţi de care aparţine aceasta</w:t>
      </w:r>
      <w:r w:rsidRPr="00054DEE">
        <w:rPr>
          <w:lang w:val="ro-RO" w:eastAsia="fr-FR"/>
        </w:rPr>
        <w:t>.</w:t>
      </w:r>
      <w:r>
        <w:rPr>
          <w:lang w:val="ro-RO" w:eastAsia="fr-FR"/>
        </w:rPr>
        <w:t xml:space="preserve"> După ce s-a dovedit că </w:t>
      </w:r>
      <w:r>
        <w:rPr>
          <w:lang w:val="ro-RO"/>
        </w:rPr>
        <w:t xml:space="preserve">Reclamanta </w:t>
      </w:r>
      <w:r>
        <w:rPr>
          <w:lang w:val="ro-RO" w:eastAsia="fr-FR"/>
        </w:rPr>
        <w:t xml:space="preserve">nu plătise taxa pe valoarea adăugată </w:t>
      </w:r>
      <w:r w:rsidRPr="00054DEE">
        <w:rPr>
          <w:lang w:val="ro-RO" w:eastAsia="fr-FR"/>
        </w:rPr>
        <w:t>(</w:t>
      </w:r>
      <w:r>
        <w:rPr>
          <w:lang w:val="ro-RO" w:eastAsia="fr-FR"/>
        </w:rPr>
        <w:t>„</w:t>
      </w:r>
      <w:r w:rsidRPr="00054DEE">
        <w:rPr>
          <w:lang w:val="ro-RO" w:eastAsia="fr-FR"/>
        </w:rPr>
        <w:t>TVA</w:t>
      </w:r>
      <w:r>
        <w:rPr>
          <w:lang w:val="ro-RO" w:eastAsia="fr-FR"/>
        </w:rPr>
        <w:t>”</w:t>
      </w:r>
      <w:r w:rsidRPr="00054DEE">
        <w:rPr>
          <w:lang w:val="ro-RO" w:eastAsia="fr-FR"/>
        </w:rPr>
        <w:t>)</w:t>
      </w:r>
      <w:r>
        <w:rPr>
          <w:lang w:val="ro-RO" w:eastAsia="fr-FR"/>
        </w:rPr>
        <w:t xml:space="preserve"> aferentă onorariilor percepute în cursul anilor 2005 şi </w:t>
      </w:r>
      <w:r w:rsidRPr="00054DEE">
        <w:rPr>
          <w:lang w:val="ro-RO" w:eastAsia="fr-FR"/>
        </w:rPr>
        <w:t>2006,</w:t>
      </w:r>
      <w:r>
        <w:rPr>
          <w:lang w:val="ro-RO" w:eastAsia="fr-FR"/>
        </w:rPr>
        <w:t xml:space="preserve"> administraţia fiscală a cerut reclamantei să prezinte extrasele contului său bancar personal</w:t>
      </w:r>
      <w:r w:rsidRPr="00054DEE">
        <w:rPr>
          <w:lang w:val="ro-RO" w:eastAsia="fr-FR"/>
        </w:rPr>
        <w:t>,</w:t>
      </w:r>
      <w:r>
        <w:rPr>
          <w:lang w:val="ro-RO" w:eastAsia="fr-FR"/>
        </w:rPr>
        <w:t xml:space="preserve"> cerere la care ea s-a opus invocând secretele profesional şi bancar</w:t>
      </w:r>
      <w:r w:rsidRPr="00054DEE">
        <w:rPr>
          <w:lang w:val="ro-RO" w:eastAsia="fr-FR"/>
        </w:rPr>
        <w:t>.</w:t>
      </w:r>
    </w:p>
    <w:p w:rsidR="00886CFB" w:rsidRPr="00054DEE" w:rsidRDefault="00886CFB" w:rsidP="0072609B">
      <w:pPr>
        <w:ind w:firstLine="284"/>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7</w:t>
      </w:r>
      <w:r w:rsidRPr="00054DEE">
        <w:rPr>
          <w:lang w:val="ro-RO" w:eastAsia="fr-FR"/>
        </w:rPr>
        <w:fldChar w:fldCharType="end"/>
      </w:r>
      <w:r w:rsidRPr="00054DEE">
        <w:rPr>
          <w:lang w:val="ro-RO" w:eastAsia="fr-FR"/>
        </w:rPr>
        <w:t>.</w:t>
      </w:r>
      <w:r>
        <w:rPr>
          <w:lang w:val="ro-RO" w:eastAsia="fr-FR"/>
        </w:rPr>
        <w:t xml:space="preserve"> Parchetul de pe lângă T</w:t>
      </w:r>
      <w:r w:rsidRPr="00054DEE">
        <w:rPr>
          <w:lang w:val="ro-RO" w:eastAsia="fr-FR"/>
        </w:rPr>
        <w:t>ribunal</w:t>
      </w:r>
      <w:r>
        <w:rPr>
          <w:lang w:val="ro-RO" w:eastAsia="fr-FR"/>
        </w:rPr>
        <w:t xml:space="preserve">ul din </w:t>
      </w:r>
      <w:r w:rsidRPr="00054DEE">
        <w:rPr>
          <w:lang w:val="ro-RO" w:eastAsia="fr-FR"/>
        </w:rPr>
        <w:t>Faro</w:t>
      </w:r>
      <w:r>
        <w:rPr>
          <w:lang w:val="ro-RO" w:eastAsia="fr-FR"/>
        </w:rPr>
        <w:t xml:space="preserve"> a fost atunci sesizat privind dosarul</w:t>
      </w:r>
      <w:r w:rsidRPr="00054DEE">
        <w:rPr>
          <w:lang w:val="ro-RO" w:eastAsia="fr-FR"/>
        </w:rPr>
        <w:t>.</w:t>
      </w:r>
      <w:r>
        <w:rPr>
          <w:lang w:val="ro-RO" w:eastAsia="fr-FR"/>
        </w:rPr>
        <w:t xml:space="preserve"> </w:t>
      </w:r>
      <w:r w:rsidRPr="00054DEE">
        <w:rPr>
          <w:lang w:val="ro-RO" w:eastAsia="fr-FR"/>
        </w:rPr>
        <w:t>Tribunal</w:t>
      </w:r>
      <w:r>
        <w:rPr>
          <w:lang w:val="ro-RO" w:eastAsia="fr-FR"/>
        </w:rPr>
        <w:t xml:space="preserve">ul din </w:t>
      </w:r>
      <w:r w:rsidRPr="00054DEE">
        <w:rPr>
          <w:lang w:val="ro-RO" w:eastAsia="fr-FR"/>
        </w:rPr>
        <w:t>Faro</w:t>
      </w:r>
      <w:r>
        <w:rPr>
          <w:lang w:val="ro-RO" w:eastAsia="fr-FR"/>
        </w:rPr>
        <w:t xml:space="preserve"> a deschis o anchetă împotriva directorului autorităţii de combatere a fraudei fiscale </w:t>
      </w:r>
      <w:r w:rsidRPr="00054DEE">
        <w:rPr>
          <w:lang w:val="ro-RO" w:eastAsia="fr-FR"/>
        </w:rPr>
        <w:t>(Proc</w:t>
      </w:r>
      <w:r>
        <w:rPr>
          <w:lang w:val="ro-RO" w:eastAsia="fr-FR"/>
        </w:rPr>
        <w:t>e</w:t>
      </w:r>
      <w:r w:rsidRPr="00054DEE">
        <w:rPr>
          <w:lang w:val="ro-RO" w:eastAsia="fr-FR"/>
        </w:rPr>
        <w:t>dur</w:t>
      </w:r>
      <w:r>
        <w:rPr>
          <w:lang w:val="ro-RO" w:eastAsia="fr-FR"/>
        </w:rPr>
        <w:t xml:space="preserve">a Internă nr. </w:t>
      </w:r>
      <w:r w:rsidRPr="00054DEE">
        <w:rPr>
          <w:lang w:val="ro-RO" w:eastAsia="fr-FR"/>
        </w:rPr>
        <w:t>1987/09.3</w:t>
      </w:r>
      <w:r>
        <w:rPr>
          <w:lang w:val="ro-RO" w:eastAsia="fr-FR"/>
        </w:rPr>
        <w:t xml:space="preserve"> </w:t>
      </w:r>
      <w:r w:rsidRPr="00054DEE">
        <w:rPr>
          <w:lang w:val="ro-RO" w:eastAsia="fr-FR"/>
        </w:rPr>
        <w:t>TAFAR).</w:t>
      </w:r>
    </w:p>
    <w:p w:rsidR="00886CFB" w:rsidRPr="00054DEE" w:rsidRDefault="00886CFB" w:rsidP="00906B0E">
      <w:pPr>
        <w:ind w:firstLine="284"/>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8</w:t>
      </w:r>
      <w:r w:rsidRPr="00054DEE">
        <w:rPr>
          <w:lang w:val="ro-RO" w:eastAsia="fr-FR"/>
        </w:rPr>
        <w:fldChar w:fldCharType="end"/>
      </w:r>
      <w:r w:rsidRPr="00054DEE">
        <w:rPr>
          <w:lang w:val="ro-RO" w:eastAsia="fr-FR"/>
        </w:rPr>
        <w:t>.</w:t>
      </w:r>
      <w:r>
        <w:rPr>
          <w:lang w:val="ro-RO" w:eastAsia="fr-FR"/>
        </w:rPr>
        <w:t xml:space="preserve"> Pe data de </w:t>
      </w:r>
      <w:r w:rsidRPr="00054DEE">
        <w:rPr>
          <w:lang w:val="ro-RO" w:eastAsia="fr-FR"/>
        </w:rPr>
        <w:t>18</w:t>
      </w:r>
      <w:r>
        <w:rPr>
          <w:lang w:val="ro-RO" w:eastAsia="fr-FR"/>
        </w:rPr>
        <w:t xml:space="preserve"> </w:t>
      </w:r>
      <w:r w:rsidRPr="00054DEE">
        <w:rPr>
          <w:lang w:val="ro-RO" w:eastAsia="fr-FR"/>
        </w:rPr>
        <w:t>septembr</w:t>
      </w:r>
      <w:r>
        <w:rPr>
          <w:lang w:val="ro-RO" w:eastAsia="fr-FR"/>
        </w:rPr>
        <w:t>i</w:t>
      </w:r>
      <w:r w:rsidRPr="00054DEE">
        <w:rPr>
          <w:lang w:val="ro-RO" w:eastAsia="fr-FR"/>
        </w:rPr>
        <w:t>e</w:t>
      </w:r>
      <w:r>
        <w:rPr>
          <w:lang w:val="ro-RO" w:eastAsia="fr-FR"/>
        </w:rPr>
        <w:t xml:space="preserve"> </w:t>
      </w:r>
      <w:r w:rsidRPr="00054DEE">
        <w:rPr>
          <w:lang w:val="ro-RO" w:eastAsia="fr-FR"/>
        </w:rPr>
        <w:t>2009,</w:t>
      </w:r>
      <w:r>
        <w:rPr>
          <w:lang w:val="ro-RO" w:eastAsia="fr-FR"/>
        </w:rPr>
        <w:t xml:space="preserve"> reclamanta a fost pusă sub acuzare şi audiată</w:t>
      </w:r>
      <w:r w:rsidRPr="00054DEE">
        <w:rPr>
          <w:lang w:val="ro-RO" w:eastAsia="fr-FR"/>
        </w:rPr>
        <w:t>.</w:t>
      </w:r>
      <w:r>
        <w:rPr>
          <w:lang w:val="ro-RO" w:eastAsia="fr-FR"/>
        </w:rPr>
        <w:t xml:space="preserve"> </w:t>
      </w:r>
      <w:r w:rsidRPr="00054DEE">
        <w:rPr>
          <w:lang w:val="ro-RO" w:eastAsia="fr-FR"/>
        </w:rPr>
        <w:t>E</w:t>
      </w:r>
      <w:r>
        <w:rPr>
          <w:lang w:val="ro-RO" w:eastAsia="fr-FR"/>
        </w:rPr>
        <w:t>a a recunoscut că plăţile onorariilor sale fuseseră făcute în contul său bancar personal şi nu în contul societăţii de avocaţi</w:t>
      </w:r>
      <w:r w:rsidRPr="00054DEE">
        <w:rPr>
          <w:lang w:val="ro-RO" w:eastAsia="fr-FR"/>
        </w:rPr>
        <w:t>.</w:t>
      </w:r>
      <w:r>
        <w:rPr>
          <w:lang w:val="ro-RO" w:eastAsia="fr-FR"/>
        </w:rPr>
        <w:t xml:space="preserve"> Totuşi, ea a refuzat să prezinte extrasele de cont bancar solicitate pe motiv că avea obligaţia să păstreze secretul profesional</w:t>
      </w:r>
      <w:r w:rsidRPr="00054DEE">
        <w:rPr>
          <w:lang w:val="ro-RO" w:eastAsia="fr-FR"/>
        </w:rPr>
        <w:t>.</w:t>
      </w:r>
      <w:r>
        <w:rPr>
          <w:lang w:val="ro-RO" w:eastAsia="fr-FR"/>
        </w:rPr>
        <w:t xml:space="preserve"> Ea a invocat de asemenea secretul bancar</w:t>
      </w:r>
      <w:r w:rsidRPr="00054DEE">
        <w:rPr>
          <w:lang w:val="ro-RO" w:eastAsia="fr-FR"/>
        </w:rPr>
        <w:t>.</w:t>
      </w:r>
    </w:p>
    <w:p w:rsidR="00886CFB" w:rsidRPr="00054DEE" w:rsidRDefault="00886CFB" w:rsidP="00906B0E">
      <w:pPr>
        <w:ind w:firstLine="284"/>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9</w:t>
      </w:r>
      <w:r w:rsidRPr="00054DEE">
        <w:rPr>
          <w:lang w:val="ro-RO" w:eastAsia="fr-FR"/>
        </w:rPr>
        <w:fldChar w:fldCharType="end"/>
      </w:r>
      <w:r w:rsidRPr="00054DEE">
        <w:rPr>
          <w:lang w:val="ro-RO" w:eastAsia="fr-FR"/>
        </w:rPr>
        <w:t>.</w:t>
      </w:r>
      <w:r>
        <w:rPr>
          <w:lang w:val="ro-RO" w:eastAsia="fr-FR"/>
        </w:rPr>
        <w:t xml:space="preserve"> Printr-o cerere din data de </w:t>
      </w:r>
      <w:r w:rsidRPr="00054DEE">
        <w:rPr>
          <w:lang w:val="ro-RO" w:eastAsia="fr-FR"/>
        </w:rPr>
        <w:t>30</w:t>
      </w:r>
      <w:r>
        <w:rPr>
          <w:lang w:val="ro-RO" w:eastAsia="fr-FR"/>
        </w:rPr>
        <w:t xml:space="preserve"> </w:t>
      </w:r>
      <w:r w:rsidRPr="00054DEE">
        <w:rPr>
          <w:lang w:val="ro-RO" w:eastAsia="fr-FR"/>
        </w:rPr>
        <w:t>octo</w:t>
      </w:r>
      <w:r>
        <w:rPr>
          <w:lang w:val="ro-RO" w:eastAsia="fr-FR"/>
        </w:rPr>
        <w:t>m</w:t>
      </w:r>
      <w:r w:rsidRPr="00054DEE">
        <w:rPr>
          <w:lang w:val="ro-RO" w:eastAsia="fr-FR"/>
        </w:rPr>
        <w:t>br</w:t>
      </w:r>
      <w:r>
        <w:rPr>
          <w:lang w:val="ro-RO" w:eastAsia="fr-FR"/>
        </w:rPr>
        <w:t>i</w:t>
      </w:r>
      <w:r w:rsidRPr="00054DEE">
        <w:rPr>
          <w:lang w:val="ro-RO" w:eastAsia="fr-FR"/>
        </w:rPr>
        <w:t>e</w:t>
      </w:r>
      <w:r>
        <w:rPr>
          <w:lang w:val="ro-RO" w:eastAsia="fr-FR"/>
        </w:rPr>
        <w:t xml:space="preserve"> </w:t>
      </w:r>
      <w:r w:rsidRPr="00054DEE">
        <w:rPr>
          <w:lang w:val="ro-RO" w:eastAsia="fr-FR"/>
        </w:rPr>
        <w:t>2009,</w:t>
      </w:r>
      <w:r>
        <w:rPr>
          <w:lang w:val="ro-RO" w:eastAsia="fr-FR"/>
        </w:rPr>
        <w:t xml:space="preserve"> parchetul a cerut judecătorului de instrucţie penală să deschidă un </w:t>
      </w:r>
      <w:r w:rsidRPr="00054DEE">
        <w:rPr>
          <w:lang w:val="ro-RO" w:eastAsia="fr-FR"/>
        </w:rPr>
        <w:t>incident</w:t>
      </w:r>
      <w:r>
        <w:rPr>
          <w:lang w:val="ro-RO" w:eastAsia="fr-FR"/>
        </w:rPr>
        <w:t xml:space="preserve"> </w:t>
      </w:r>
      <w:r w:rsidRPr="00054DEE">
        <w:rPr>
          <w:lang w:val="ro-RO" w:eastAsia="fr-FR"/>
        </w:rPr>
        <w:t>de</w:t>
      </w:r>
      <w:r>
        <w:rPr>
          <w:lang w:val="ro-RO" w:eastAsia="fr-FR"/>
        </w:rPr>
        <w:t xml:space="preserve"> </w:t>
      </w:r>
      <w:r w:rsidRPr="00054DEE">
        <w:rPr>
          <w:lang w:val="ro-RO" w:eastAsia="fr-FR"/>
        </w:rPr>
        <w:t>proc</w:t>
      </w:r>
      <w:r>
        <w:rPr>
          <w:lang w:val="ro-RO" w:eastAsia="fr-FR"/>
        </w:rPr>
        <w:t>e</w:t>
      </w:r>
      <w:r w:rsidRPr="00054DEE">
        <w:rPr>
          <w:lang w:val="ro-RO" w:eastAsia="fr-FR"/>
        </w:rPr>
        <w:t>dur</w:t>
      </w:r>
      <w:r>
        <w:rPr>
          <w:lang w:val="ro-RO" w:eastAsia="fr-FR"/>
        </w:rPr>
        <w:t xml:space="preserve">ă care să vizeze ridicarea secretului profesional </w:t>
      </w:r>
      <w:r w:rsidRPr="00054DEE">
        <w:rPr>
          <w:lang w:val="ro-RO" w:eastAsia="fr-FR"/>
        </w:rPr>
        <w:t>(</w:t>
      </w:r>
      <w:r w:rsidRPr="00054DEE">
        <w:rPr>
          <w:bCs/>
          <w:i/>
          <w:lang w:val="ro-RO" w:eastAsia="fr-FR"/>
        </w:rPr>
        <w:t>incidente</w:t>
      </w:r>
      <w:r>
        <w:rPr>
          <w:bCs/>
          <w:i/>
          <w:lang w:val="ro-RO" w:eastAsia="fr-FR"/>
        </w:rPr>
        <w:t xml:space="preserve"> </w:t>
      </w:r>
      <w:r w:rsidRPr="00054DEE">
        <w:rPr>
          <w:bCs/>
          <w:i/>
          <w:lang w:val="ro-RO" w:eastAsia="fr-FR"/>
        </w:rPr>
        <w:t>de</w:t>
      </w:r>
      <w:r>
        <w:rPr>
          <w:bCs/>
          <w:i/>
          <w:lang w:val="ro-RO" w:eastAsia="fr-FR"/>
        </w:rPr>
        <w:t xml:space="preserve"> </w:t>
      </w:r>
      <w:r w:rsidRPr="00054DEE">
        <w:rPr>
          <w:bCs/>
          <w:i/>
          <w:lang w:val="ro-RO" w:eastAsia="fr-FR"/>
        </w:rPr>
        <w:t>quebra</w:t>
      </w:r>
      <w:r>
        <w:rPr>
          <w:bCs/>
          <w:i/>
          <w:lang w:val="ro-RO" w:eastAsia="fr-FR"/>
        </w:rPr>
        <w:t xml:space="preserve"> </w:t>
      </w:r>
      <w:r w:rsidRPr="00054DEE">
        <w:rPr>
          <w:bCs/>
          <w:i/>
          <w:lang w:val="ro-RO" w:eastAsia="fr-FR"/>
        </w:rPr>
        <w:t>do</w:t>
      </w:r>
      <w:r>
        <w:rPr>
          <w:bCs/>
          <w:i/>
          <w:lang w:val="ro-RO" w:eastAsia="fr-FR"/>
        </w:rPr>
        <w:t xml:space="preserve"> </w:t>
      </w:r>
      <w:r w:rsidRPr="00054DEE">
        <w:rPr>
          <w:bCs/>
          <w:i/>
          <w:lang w:val="ro-RO" w:eastAsia="fr-FR"/>
        </w:rPr>
        <w:t>segredo</w:t>
      </w:r>
      <w:r>
        <w:rPr>
          <w:bCs/>
          <w:i/>
          <w:lang w:val="ro-RO" w:eastAsia="fr-FR"/>
        </w:rPr>
        <w:t xml:space="preserve"> </w:t>
      </w:r>
      <w:r w:rsidRPr="00054DEE">
        <w:rPr>
          <w:bCs/>
          <w:i/>
          <w:lang w:val="ro-RO" w:eastAsia="fr-FR"/>
        </w:rPr>
        <w:t>profissional</w:t>
      </w:r>
      <w:r w:rsidRPr="00054DEE">
        <w:rPr>
          <w:bCs/>
          <w:lang w:val="ro-RO" w:eastAsia="fr-FR"/>
        </w:rPr>
        <w:t>)</w:t>
      </w:r>
      <w:r w:rsidRPr="00054DEE">
        <w:rPr>
          <w:lang w:val="ro-RO" w:eastAsia="fr-FR"/>
        </w:rPr>
        <w:t>,</w:t>
      </w:r>
      <w:r>
        <w:rPr>
          <w:lang w:val="ro-RO" w:eastAsia="fr-FR"/>
        </w:rPr>
        <w:t xml:space="preserve"> </w:t>
      </w:r>
      <w:r w:rsidRPr="00054DEE">
        <w:rPr>
          <w:lang w:val="ro-RO" w:eastAsia="fr-FR"/>
        </w:rPr>
        <w:t>conform</w:t>
      </w:r>
      <w:r>
        <w:rPr>
          <w:lang w:val="ro-RO" w:eastAsia="fr-FR"/>
        </w:rPr>
        <w:t xml:space="preserve"> articolului </w:t>
      </w:r>
      <w:r w:rsidRPr="00054DEE">
        <w:rPr>
          <w:lang w:val="ro-RO" w:eastAsia="fr-FR"/>
        </w:rPr>
        <w:t>135</w:t>
      </w:r>
      <w:r>
        <w:rPr>
          <w:lang w:val="ro-RO" w:eastAsia="fr-FR"/>
        </w:rPr>
        <w:t xml:space="preserve"> </w:t>
      </w:r>
      <w:r w:rsidRPr="00054DEE">
        <w:rPr>
          <w:lang w:val="ro-RO" w:eastAsia="fr-FR"/>
        </w:rPr>
        <w:t>§</w:t>
      </w:r>
      <w:r>
        <w:rPr>
          <w:lang w:val="ro-RO" w:eastAsia="fr-FR"/>
        </w:rPr>
        <w:t xml:space="preserve"> </w:t>
      </w:r>
      <w:r w:rsidRPr="00054DEE">
        <w:rPr>
          <w:lang w:val="ro-RO" w:eastAsia="fr-FR"/>
        </w:rPr>
        <w:t>3</w:t>
      </w:r>
      <w:r>
        <w:rPr>
          <w:lang w:val="ro-RO" w:eastAsia="fr-FR"/>
        </w:rPr>
        <w:t xml:space="preserve"> din codul de procedură penală („CPP”</w:t>
      </w:r>
      <w:r w:rsidRPr="00054DEE">
        <w:rPr>
          <w:lang w:val="ro-RO" w:eastAsia="fr-FR"/>
        </w:rPr>
        <w:t>).</w:t>
      </w:r>
      <w:r>
        <w:rPr>
          <w:lang w:val="ro-RO" w:eastAsia="fr-FR"/>
        </w:rPr>
        <w:t xml:space="preserve"> În sprijinul cererii sale, acesta a relevat că</w:t>
      </w:r>
      <w:r w:rsidRPr="00054DEE">
        <w:rPr>
          <w:lang w:val="ro-RO" w:eastAsia="fr-FR"/>
        </w:rPr>
        <w:t>:</w:t>
      </w:r>
    </w:p>
    <w:p w:rsidR="00886CFB" w:rsidRPr="00054DEE" w:rsidRDefault="00886CFB" w:rsidP="00906B0E">
      <w:pPr>
        <w:ind w:firstLine="284"/>
        <w:rPr>
          <w:lang w:val="ro-RO" w:eastAsia="fr-FR"/>
        </w:rPr>
      </w:pPr>
      <w:r w:rsidRPr="00054DEE">
        <w:rPr>
          <w:lang w:val="ro-RO" w:eastAsia="fr-FR"/>
        </w:rPr>
        <w:t>-</w:t>
      </w:r>
      <w:r>
        <w:rPr>
          <w:lang w:val="ro-RO" w:eastAsia="fr-FR"/>
        </w:rPr>
        <w:t xml:space="preserve"> </w:t>
      </w:r>
      <w:r w:rsidRPr="00054DEE">
        <w:rPr>
          <w:lang w:val="ro-RO" w:eastAsia="fr-FR"/>
        </w:rPr>
        <w:t>secret</w:t>
      </w:r>
      <w:r>
        <w:rPr>
          <w:lang w:val="ro-RO" w:eastAsia="fr-FR"/>
        </w:rPr>
        <w:t>ul profesiona</w:t>
      </w:r>
      <w:r w:rsidRPr="00054DEE">
        <w:rPr>
          <w:lang w:val="ro-RO" w:eastAsia="fr-FR"/>
        </w:rPr>
        <w:t>l</w:t>
      </w:r>
      <w:r>
        <w:rPr>
          <w:lang w:val="ro-RO" w:eastAsia="fr-FR"/>
        </w:rPr>
        <w:t xml:space="preserve"> poate fi încălcat în acest dosar având în vedere că se părea că diferite transferuri de bani în contul personal al reclamantei fuseseră făcute de clienţi</w:t>
      </w:r>
      <w:r w:rsidRPr="00054DEE">
        <w:rPr>
          <w:lang w:val="ro-RO" w:eastAsia="fr-FR"/>
        </w:rPr>
        <w:t>;</w:t>
      </w:r>
    </w:p>
    <w:p w:rsidR="00886CFB" w:rsidRPr="00054DEE" w:rsidRDefault="00886CFB" w:rsidP="00906B0E">
      <w:pPr>
        <w:ind w:firstLine="284"/>
        <w:rPr>
          <w:lang w:val="ro-RO" w:eastAsia="fr-FR"/>
        </w:rPr>
      </w:pPr>
      <w:r w:rsidRPr="00054DEE">
        <w:rPr>
          <w:lang w:val="ro-RO" w:eastAsia="fr-FR"/>
        </w:rPr>
        <w:t>-</w:t>
      </w:r>
      <w:r>
        <w:rPr>
          <w:lang w:val="ro-RO" w:eastAsia="fr-FR"/>
        </w:rPr>
        <w:t xml:space="preserve"> Secretul bancar era de asemenea invocat în cauză având în vedere Art. 78 §§ 1 şi </w:t>
      </w:r>
      <w:r w:rsidRPr="00054DEE">
        <w:rPr>
          <w:lang w:val="ro-RO" w:eastAsia="fr-FR"/>
        </w:rPr>
        <w:t>2</w:t>
      </w:r>
      <w:r>
        <w:rPr>
          <w:lang w:val="ro-RO" w:eastAsia="fr-FR"/>
        </w:rPr>
        <w:t xml:space="preserve"> regimul general al instituţiilor de credit şi societăţilor financiare</w:t>
      </w:r>
      <w:r w:rsidRPr="00054DEE">
        <w:rPr>
          <w:lang w:val="ro-RO" w:eastAsia="fr-FR"/>
        </w:rPr>
        <w:t>;</w:t>
      </w:r>
    </w:p>
    <w:p w:rsidR="00886CFB" w:rsidRPr="00054DEE" w:rsidRDefault="00886CFB" w:rsidP="00906B0E">
      <w:pPr>
        <w:ind w:firstLine="284"/>
        <w:rPr>
          <w:lang w:val="ro-RO" w:eastAsia="fr-FR"/>
        </w:rPr>
      </w:pPr>
      <w:r w:rsidRPr="00054DEE">
        <w:rPr>
          <w:lang w:val="ro-RO" w:eastAsia="fr-FR"/>
        </w:rPr>
        <w:t>-</w:t>
      </w:r>
      <w:r>
        <w:rPr>
          <w:lang w:val="ro-RO" w:eastAsia="fr-FR"/>
        </w:rPr>
        <w:t xml:space="preserve"> înainte de a se adresa instituţiilor bancare, era necesar să fie ridicat secretul profesional pe care reclamanta avea obligaţia să-l respecte din cauza profesiei sale de avocat</w:t>
      </w:r>
      <w:r w:rsidRPr="00054DEE">
        <w:rPr>
          <w:lang w:val="ro-RO" w:eastAsia="fr-FR"/>
        </w:rPr>
        <w:t>;</w:t>
      </w:r>
    </w:p>
    <w:p w:rsidR="00886CFB" w:rsidRPr="00054DEE" w:rsidRDefault="00886CFB" w:rsidP="00906B0E">
      <w:pPr>
        <w:ind w:firstLine="284"/>
        <w:rPr>
          <w:lang w:val="ro-RO" w:eastAsia="fr-FR"/>
        </w:rPr>
      </w:pPr>
      <w:r w:rsidRPr="00054DEE">
        <w:rPr>
          <w:lang w:val="ro-RO" w:eastAsia="fr-FR"/>
        </w:rPr>
        <w:t>-</w:t>
      </w:r>
      <w:r>
        <w:rPr>
          <w:lang w:val="ro-RO" w:eastAsia="fr-FR"/>
        </w:rPr>
        <w:t xml:space="preserve"> că necesitatea de a administra justiţia era prioritar faţă de obligaţia păstrării secretului profesional</w:t>
      </w:r>
      <w:r w:rsidRPr="00054DEE">
        <w:rPr>
          <w:lang w:val="ro-RO" w:eastAsia="fr-FR"/>
        </w:rPr>
        <w:t>,</w:t>
      </w:r>
      <w:r>
        <w:rPr>
          <w:lang w:val="ro-RO" w:eastAsia="fr-FR"/>
        </w:rPr>
        <w:t xml:space="preserve"> subliniind că procedura în curs o privea pe reclamantă şi nu pe clienţii acesteia</w:t>
      </w:r>
      <w:r w:rsidRPr="00054DEE">
        <w:rPr>
          <w:lang w:val="ro-RO" w:eastAsia="fr-FR"/>
        </w:rPr>
        <w:t>.</w:t>
      </w:r>
    </w:p>
    <w:p w:rsidR="00886CFB" w:rsidRPr="00054DEE" w:rsidRDefault="00886CFB" w:rsidP="00906B0E">
      <w:pPr>
        <w:ind w:firstLine="284"/>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10</w:t>
      </w:r>
      <w:r w:rsidRPr="00054DEE">
        <w:rPr>
          <w:lang w:val="ro-RO" w:eastAsia="fr-FR"/>
        </w:rPr>
        <w:fldChar w:fldCharType="end"/>
      </w:r>
      <w:r w:rsidRPr="00054DEE">
        <w:rPr>
          <w:lang w:val="ro-RO" w:eastAsia="fr-FR"/>
        </w:rPr>
        <w:t>.</w:t>
      </w:r>
      <w:r>
        <w:rPr>
          <w:lang w:val="ro-RO" w:eastAsia="fr-FR"/>
        </w:rPr>
        <w:t xml:space="preserve"> Printr-o ordonanţă din data de 6 noiembrie </w:t>
      </w:r>
      <w:r w:rsidRPr="00054DEE">
        <w:rPr>
          <w:lang w:val="ro-RO" w:eastAsia="fr-FR"/>
        </w:rPr>
        <w:t>2009,</w:t>
      </w:r>
      <w:r>
        <w:rPr>
          <w:lang w:val="ro-RO" w:eastAsia="fr-FR"/>
        </w:rPr>
        <w:t xml:space="preserve"> judecătorul de instrucţie a recunoscut că invocarea secretului profesional şi a celui bancar era legitimă</w:t>
      </w:r>
      <w:r w:rsidRPr="00054DEE">
        <w:rPr>
          <w:lang w:val="ro-RO" w:eastAsia="fr-FR"/>
        </w:rPr>
        <w:t>.</w:t>
      </w:r>
      <w:r>
        <w:rPr>
          <w:lang w:val="ro-RO" w:eastAsia="fr-FR"/>
        </w:rPr>
        <w:t xml:space="preserve"> Judecătorul de instrucţie s-a exprimat în felul următor</w:t>
      </w:r>
      <w:r w:rsidRPr="00054DEE">
        <w:rPr>
          <w:lang w:val="ro-RO" w:eastAsia="fr-FR"/>
        </w:rPr>
        <w:t>:</w:t>
      </w:r>
    </w:p>
    <w:p w:rsidR="00886CFB" w:rsidRPr="0071061D" w:rsidRDefault="00886CFB" w:rsidP="00906B0E">
      <w:pPr>
        <w:pStyle w:val="ECHRParaQuote"/>
        <w:rPr>
          <w:i/>
          <w:lang w:val="ro-RO" w:eastAsia="fr-FR"/>
        </w:rPr>
      </w:pPr>
      <w:r w:rsidRPr="0071061D">
        <w:rPr>
          <w:i/>
          <w:lang w:val="ro-RO" w:eastAsia="fr-FR"/>
        </w:rPr>
        <w:t>„(...)</w:t>
      </w:r>
      <w:r>
        <w:rPr>
          <w:i/>
          <w:lang w:val="ro-RO" w:eastAsia="fr-FR"/>
        </w:rPr>
        <w:t xml:space="preserve"> </w:t>
      </w:r>
      <w:r w:rsidRPr="0071061D">
        <w:rPr>
          <w:i/>
          <w:lang w:val="ro-RO" w:eastAsia="fr-FR"/>
        </w:rPr>
        <w:t>ancheta</w:t>
      </w:r>
      <w:r>
        <w:rPr>
          <w:i/>
          <w:lang w:val="ro-RO" w:eastAsia="fr-FR"/>
        </w:rPr>
        <w:t xml:space="preserve"> </w:t>
      </w:r>
      <w:r w:rsidRPr="0071061D">
        <w:rPr>
          <w:i/>
          <w:lang w:val="ro-RO" w:eastAsia="fr-FR"/>
        </w:rPr>
        <w:t>nu</w:t>
      </w:r>
      <w:r>
        <w:rPr>
          <w:i/>
          <w:lang w:val="ro-RO" w:eastAsia="fr-FR"/>
        </w:rPr>
        <w:t xml:space="preserve"> </w:t>
      </w:r>
      <w:r w:rsidRPr="0071061D">
        <w:rPr>
          <w:i/>
          <w:lang w:val="ro-RO" w:eastAsia="fr-FR"/>
        </w:rPr>
        <w:t>va</w:t>
      </w:r>
      <w:r>
        <w:rPr>
          <w:i/>
          <w:lang w:val="ro-RO" w:eastAsia="fr-FR"/>
        </w:rPr>
        <w:t xml:space="preserve"> </w:t>
      </w:r>
      <w:r w:rsidRPr="0071061D">
        <w:rPr>
          <w:i/>
          <w:lang w:val="ro-RO" w:eastAsia="fr-FR"/>
        </w:rPr>
        <w:t>putea</w:t>
      </w:r>
      <w:r>
        <w:rPr>
          <w:i/>
          <w:lang w:val="ro-RO" w:eastAsia="fr-FR"/>
        </w:rPr>
        <w:t xml:space="preserve"> </w:t>
      </w:r>
      <w:r w:rsidRPr="0071061D">
        <w:rPr>
          <w:i/>
          <w:lang w:val="ro-RO" w:eastAsia="fr-FR"/>
        </w:rPr>
        <w:t>avansa</w:t>
      </w:r>
      <w:r>
        <w:rPr>
          <w:i/>
          <w:lang w:val="ro-RO" w:eastAsia="fr-FR"/>
        </w:rPr>
        <w:t xml:space="preserve"> </w:t>
      </w:r>
      <w:r w:rsidRPr="0071061D">
        <w:rPr>
          <w:i/>
          <w:lang w:val="ro-RO" w:eastAsia="fr-FR"/>
        </w:rPr>
        <w:t>şi</w:t>
      </w:r>
      <w:r>
        <w:rPr>
          <w:i/>
          <w:lang w:val="ro-RO" w:eastAsia="fr-FR"/>
        </w:rPr>
        <w:t xml:space="preserve"> </w:t>
      </w:r>
      <w:r w:rsidRPr="0071061D">
        <w:rPr>
          <w:i/>
          <w:lang w:val="ro-RO" w:eastAsia="fr-FR"/>
        </w:rPr>
        <w:t>adevărul</w:t>
      </w:r>
      <w:r>
        <w:rPr>
          <w:i/>
          <w:lang w:val="ro-RO" w:eastAsia="fr-FR"/>
        </w:rPr>
        <w:t xml:space="preserve"> </w:t>
      </w:r>
      <w:r w:rsidRPr="0071061D">
        <w:rPr>
          <w:i/>
          <w:lang w:val="ro-RO" w:eastAsia="fr-FR"/>
        </w:rPr>
        <w:t>material</w:t>
      </w:r>
      <w:r>
        <w:rPr>
          <w:i/>
          <w:lang w:val="ro-RO" w:eastAsia="fr-FR"/>
        </w:rPr>
        <w:t xml:space="preserve"> </w:t>
      </w:r>
      <w:r w:rsidRPr="0071061D">
        <w:rPr>
          <w:i/>
          <w:lang w:val="ro-RO" w:eastAsia="fr-FR"/>
        </w:rPr>
        <w:t>nu</w:t>
      </w:r>
      <w:r>
        <w:rPr>
          <w:i/>
          <w:lang w:val="ro-RO" w:eastAsia="fr-FR"/>
        </w:rPr>
        <w:t xml:space="preserve"> </w:t>
      </w:r>
      <w:r w:rsidRPr="0071061D">
        <w:rPr>
          <w:i/>
          <w:lang w:val="ro-RO" w:eastAsia="fr-FR"/>
        </w:rPr>
        <w:t>va</w:t>
      </w:r>
      <w:r>
        <w:rPr>
          <w:i/>
          <w:lang w:val="ro-RO" w:eastAsia="fr-FR"/>
        </w:rPr>
        <w:t xml:space="preserve"> </w:t>
      </w:r>
      <w:r w:rsidRPr="0071061D">
        <w:rPr>
          <w:i/>
          <w:lang w:val="ro-RO" w:eastAsia="fr-FR"/>
        </w:rPr>
        <w:t>putea</w:t>
      </w:r>
      <w:r>
        <w:rPr>
          <w:i/>
          <w:lang w:val="ro-RO" w:eastAsia="fr-FR"/>
        </w:rPr>
        <w:t xml:space="preserve"> </w:t>
      </w:r>
      <w:r w:rsidRPr="0071061D">
        <w:rPr>
          <w:i/>
          <w:lang w:val="ro-RO" w:eastAsia="fr-FR"/>
        </w:rPr>
        <w:t>fi</w:t>
      </w:r>
      <w:r>
        <w:rPr>
          <w:i/>
          <w:lang w:val="ro-RO" w:eastAsia="fr-FR"/>
        </w:rPr>
        <w:t xml:space="preserve"> </w:t>
      </w:r>
      <w:r w:rsidRPr="0071061D">
        <w:rPr>
          <w:i/>
          <w:lang w:val="ro-RO" w:eastAsia="fr-FR"/>
        </w:rPr>
        <w:t>aflat</w:t>
      </w:r>
      <w:r>
        <w:rPr>
          <w:i/>
          <w:lang w:val="ro-RO" w:eastAsia="fr-FR"/>
        </w:rPr>
        <w:t xml:space="preserve"> </w:t>
      </w:r>
      <w:r w:rsidRPr="0071061D">
        <w:rPr>
          <w:i/>
          <w:lang w:val="ro-RO" w:eastAsia="fr-FR"/>
        </w:rPr>
        <w:t>decât</w:t>
      </w:r>
      <w:r>
        <w:rPr>
          <w:i/>
          <w:lang w:val="ro-RO" w:eastAsia="fr-FR"/>
        </w:rPr>
        <w:t xml:space="preserve"> </w:t>
      </w:r>
      <w:r w:rsidRPr="0071061D">
        <w:rPr>
          <w:i/>
          <w:lang w:val="ro-RO" w:eastAsia="fr-FR"/>
        </w:rPr>
        <w:t>după</w:t>
      </w:r>
      <w:r>
        <w:rPr>
          <w:i/>
          <w:lang w:val="ro-RO" w:eastAsia="fr-FR"/>
        </w:rPr>
        <w:t xml:space="preserve"> </w:t>
      </w:r>
      <w:r w:rsidRPr="0071061D">
        <w:rPr>
          <w:i/>
          <w:lang w:val="ro-RO" w:eastAsia="fr-FR"/>
        </w:rPr>
        <w:t>consultarea</w:t>
      </w:r>
      <w:r>
        <w:rPr>
          <w:i/>
          <w:lang w:val="ro-RO" w:eastAsia="fr-FR"/>
        </w:rPr>
        <w:t xml:space="preserve"> </w:t>
      </w:r>
      <w:r w:rsidRPr="0071061D">
        <w:rPr>
          <w:i/>
          <w:lang w:val="ro-RO" w:eastAsia="fr-FR"/>
        </w:rPr>
        <w:t>conturilor</w:t>
      </w:r>
      <w:r>
        <w:rPr>
          <w:i/>
          <w:lang w:val="ro-RO" w:eastAsia="fr-FR"/>
        </w:rPr>
        <w:t xml:space="preserve"> </w:t>
      </w:r>
      <w:r w:rsidRPr="0071061D">
        <w:rPr>
          <w:i/>
          <w:lang w:val="ro-RO" w:eastAsia="fr-FR"/>
        </w:rPr>
        <w:t>bancare</w:t>
      </w:r>
      <w:r>
        <w:rPr>
          <w:i/>
          <w:lang w:val="ro-RO" w:eastAsia="fr-FR"/>
        </w:rPr>
        <w:t xml:space="preserve"> </w:t>
      </w:r>
      <w:r w:rsidRPr="0071061D">
        <w:rPr>
          <w:i/>
          <w:lang w:val="ro-RO" w:eastAsia="fr-FR"/>
        </w:rPr>
        <w:t>ale</w:t>
      </w:r>
      <w:r>
        <w:rPr>
          <w:i/>
          <w:lang w:val="ro-RO" w:eastAsia="fr-FR"/>
        </w:rPr>
        <w:t xml:space="preserve"> </w:t>
      </w:r>
      <w:r w:rsidRPr="0071061D">
        <w:rPr>
          <w:i/>
          <w:lang w:val="ro-RO" w:eastAsia="fr-FR"/>
        </w:rPr>
        <w:t>acuzatei</w:t>
      </w:r>
      <w:r>
        <w:rPr>
          <w:i/>
          <w:lang w:val="ro-RO" w:eastAsia="fr-FR"/>
        </w:rPr>
        <w:t xml:space="preserve"> </w:t>
      </w:r>
      <w:r w:rsidRPr="0071061D">
        <w:rPr>
          <w:i/>
          <w:lang w:val="ro-RO" w:eastAsia="fr-FR"/>
        </w:rPr>
        <w:t>având</w:t>
      </w:r>
      <w:r>
        <w:rPr>
          <w:i/>
          <w:lang w:val="ro-RO" w:eastAsia="fr-FR"/>
        </w:rPr>
        <w:t xml:space="preserve"> </w:t>
      </w:r>
      <w:r w:rsidRPr="0071061D">
        <w:rPr>
          <w:i/>
          <w:lang w:val="ro-RO" w:eastAsia="fr-FR"/>
        </w:rPr>
        <w:t>în</w:t>
      </w:r>
      <w:r>
        <w:rPr>
          <w:i/>
          <w:lang w:val="ro-RO" w:eastAsia="fr-FR"/>
        </w:rPr>
        <w:t xml:space="preserve"> </w:t>
      </w:r>
      <w:r w:rsidRPr="0071061D">
        <w:rPr>
          <w:i/>
          <w:lang w:val="ro-RO" w:eastAsia="fr-FR"/>
        </w:rPr>
        <w:t>vedere</w:t>
      </w:r>
      <w:r>
        <w:rPr>
          <w:i/>
          <w:lang w:val="ro-RO" w:eastAsia="fr-FR"/>
        </w:rPr>
        <w:t xml:space="preserve"> </w:t>
      </w:r>
      <w:r w:rsidRPr="0071061D">
        <w:rPr>
          <w:i/>
          <w:lang w:val="ro-RO" w:eastAsia="fr-FR"/>
        </w:rPr>
        <w:t>că</w:t>
      </w:r>
      <w:r>
        <w:rPr>
          <w:i/>
          <w:lang w:val="ro-RO" w:eastAsia="fr-FR"/>
        </w:rPr>
        <w:t xml:space="preserve"> </w:t>
      </w:r>
      <w:r w:rsidRPr="0071061D">
        <w:rPr>
          <w:i/>
          <w:lang w:val="ro-RO" w:eastAsia="fr-FR"/>
        </w:rPr>
        <w:t>ea</w:t>
      </w:r>
      <w:r>
        <w:rPr>
          <w:i/>
          <w:lang w:val="ro-RO" w:eastAsia="fr-FR"/>
        </w:rPr>
        <w:t xml:space="preserve"> </w:t>
      </w:r>
      <w:r w:rsidRPr="0071061D">
        <w:rPr>
          <w:i/>
          <w:lang w:val="ro-RO" w:eastAsia="fr-FR"/>
        </w:rPr>
        <w:t>trebuie</w:t>
      </w:r>
      <w:r>
        <w:rPr>
          <w:i/>
          <w:lang w:val="ro-RO" w:eastAsia="fr-FR"/>
        </w:rPr>
        <w:t xml:space="preserve"> </w:t>
      </w:r>
      <w:r w:rsidRPr="0071061D">
        <w:rPr>
          <w:i/>
          <w:lang w:val="ro-RO" w:eastAsia="fr-FR"/>
        </w:rPr>
        <w:t>să</w:t>
      </w:r>
      <w:r>
        <w:rPr>
          <w:i/>
          <w:lang w:val="ro-RO" w:eastAsia="fr-FR"/>
        </w:rPr>
        <w:t xml:space="preserve"> </w:t>
      </w:r>
      <w:r w:rsidRPr="0071061D">
        <w:rPr>
          <w:i/>
          <w:lang w:val="ro-RO" w:eastAsia="fr-FR"/>
        </w:rPr>
        <w:t>fi</w:t>
      </w:r>
      <w:r>
        <w:rPr>
          <w:i/>
          <w:lang w:val="ro-RO" w:eastAsia="fr-FR"/>
        </w:rPr>
        <w:t xml:space="preserve"> </w:t>
      </w:r>
      <w:r w:rsidRPr="0071061D">
        <w:rPr>
          <w:i/>
          <w:lang w:val="ro-RO" w:eastAsia="fr-FR"/>
        </w:rPr>
        <w:lastRenderedPageBreak/>
        <w:t>depus</w:t>
      </w:r>
      <w:r>
        <w:rPr>
          <w:i/>
          <w:lang w:val="ro-RO" w:eastAsia="fr-FR"/>
        </w:rPr>
        <w:t xml:space="preserve"> </w:t>
      </w:r>
      <w:r w:rsidRPr="0071061D">
        <w:rPr>
          <w:i/>
          <w:lang w:val="ro-RO" w:eastAsia="fr-FR"/>
        </w:rPr>
        <w:t>acolo</w:t>
      </w:r>
      <w:r>
        <w:rPr>
          <w:i/>
          <w:lang w:val="ro-RO" w:eastAsia="fr-FR"/>
        </w:rPr>
        <w:t xml:space="preserve"> </w:t>
      </w:r>
      <w:r w:rsidRPr="0071061D">
        <w:rPr>
          <w:i/>
          <w:lang w:val="ro-RO" w:eastAsia="fr-FR"/>
        </w:rPr>
        <w:t>sumele</w:t>
      </w:r>
      <w:r>
        <w:rPr>
          <w:i/>
          <w:lang w:val="ro-RO" w:eastAsia="fr-FR"/>
        </w:rPr>
        <w:t xml:space="preserve"> </w:t>
      </w:r>
      <w:r w:rsidRPr="0071061D">
        <w:rPr>
          <w:i/>
          <w:lang w:val="ro-RO" w:eastAsia="fr-FR"/>
        </w:rPr>
        <w:t>pretinse</w:t>
      </w:r>
      <w:r>
        <w:rPr>
          <w:i/>
          <w:lang w:val="ro-RO" w:eastAsia="fr-FR"/>
        </w:rPr>
        <w:t xml:space="preserve"> </w:t>
      </w:r>
      <w:r w:rsidRPr="0071061D">
        <w:rPr>
          <w:i/>
          <w:lang w:val="ro-RO" w:eastAsia="fr-FR"/>
        </w:rPr>
        <w:t>ca</w:t>
      </w:r>
      <w:r>
        <w:rPr>
          <w:i/>
          <w:lang w:val="ro-RO" w:eastAsia="fr-FR"/>
        </w:rPr>
        <w:t xml:space="preserve"> </w:t>
      </w:r>
      <w:r w:rsidRPr="0071061D">
        <w:rPr>
          <w:i/>
          <w:lang w:val="ro-RO" w:eastAsia="fr-FR"/>
        </w:rPr>
        <w:t>fiind</w:t>
      </w:r>
      <w:r>
        <w:rPr>
          <w:i/>
          <w:lang w:val="ro-RO" w:eastAsia="fr-FR"/>
        </w:rPr>
        <w:t xml:space="preserve"> </w:t>
      </w:r>
      <w:r w:rsidRPr="0071061D">
        <w:rPr>
          <w:i/>
          <w:lang w:val="ro-RO" w:eastAsia="fr-FR"/>
        </w:rPr>
        <w:t>plătite</w:t>
      </w:r>
      <w:r>
        <w:rPr>
          <w:i/>
          <w:lang w:val="ro-RO" w:eastAsia="fr-FR"/>
        </w:rPr>
        <w:t xml:space="preserve"> </w:t>
      </w:r>
      <w:r w:rsidRPr="0071061D">
        <w:rPr>
          <w:i/>
          <w:lang w:val="ro-RO" w:eastAsia="fr-FR"/>
        </w:rPr>
        <w:t>cu</w:t>
      </w:r>
      <w:r>
        <w:rPr>
          <w:i/>
          <w:lang w:val="ro-RO" w:eastAsia="fr-FR"/>
        </w:rPr>
        <w:t xml:space="preserve"> </w:t>
      </w:r>
      <w:r w:rsidRPr="0071061D">
        <w:rPr>
          <w:i/>
          <w:lang w:val="ro-RO" w:eastAsia="fr-FR"/>
        </w:rPr>
        <w:t>titlul</w:t>
      </w:r>
      <w:r>
        <w:rPr>
          <w:i/>
          <w:lang w:val="ro-RO" w:eastAsia="fr-FR"/>
        </w:rPr>
        <w:t xml:space="preserve"> </w:t>
      </w:r>
      <w:r w:rsidRPr="0071061D">
        <w:rPr>
          <w:i/>
          <w:lang w:val="ro-RO" w:eastAsia="fr-FR"/>
        </w:rPr>
        <w:t>de</w:t>
      </w:r>
      <w:r>
        <w:rPr>
          <w:i/>
          <w:lang w:val="ro-RO" w:eastAsia="fr-FR"/>
        </w:rPr>
        <w:t xml:space="preserve"> </w:t>
      </w:r>
      <w:r w:rsidRPr="0071061D">
        <w:rPr>
          <w:i/>
          <w:lang w:val="ro-RO" w:eastAsia="fr-FR"/>
        </w:rPr>
        <w:t>onorarii.</w:t>
      </w:r>
      <w:r>
        <w:rPr>
          <w:i/>
          <w:lang w:val="ro-RO" w:eastAsia="fr-FR"/>
        </w:rPr>
        <w:t xml:space="preserve"> </w:t>
      </w:r>
      <w:r w:rsidRPr="0071061D">
        <w:rPr>
          <w:i/>
          <w:lang w:val="ro-RO" w:eastAsia="fr-FR"/>
        </w:rPr>
        <w:t>Însă</w:t>
      </w:r>
      <w:r>
        <w:rPr>
          <w:i/>
          <w:lang w:val="ro-RO" w:eastAsia="fr-FR"/>
        </w:rPr>
        <w:t xml:space="preserve"> </w:t>
      </w:r>
      <w:r w:rsidRPr="0071061D">
        <w:rPr>
          <w:i/>
          <w:lang w:val="ro-RO" w:eastAsia="fr-FR"/>
        </w:rPr>
        <w:t>aceasta</w:t>
      </w:r>
      <w:r>
        <w:rPr>
          <w:i/>
          <w:lang w:val="ro-RO" w:eastAsia="fr-FR"/>
        </w:rPr>
        <w:t xml:space="preserve"> </w:t>
      </w:r>
      <w:r w:rsidRPr="0071061D">
        <w:rPr>
          <w:i/>
          <w:lang w:val="ro-RO" w:eastAsia="fr-FR"/>
        </w:rPr>
        <w:t>nu</w:t>
      </w:r>
      <w:r>
        <w:rPr>
          <w:i/>
          <w:lang w:val="ro-RO" w:eastAsia="fr-FR"/>
        </w:rPr>
        <w:t xml:space="preserve"> </w:t>
      </w:r>
      <w:r w:rsidRPr="0071061D">
        <w:rPr>
          <w:i/>
          <w:lang w:val="ro-RO" w:eastAsia="fr-FR"/>
        </w:rPr>
        <w:t>şi-a</w:t>
      </w:r>
      <w:r>
        <w:rPr>
          <w:i/>
          <w:lang w:val="ro-RO" w:eastAsia="fr-FR"/>
        </w:rPr>
        <w:t xml:space="preserve"> </w:t>
      </w:r>
      <w:r w:rsidRPr="0071061D">
        <w:rPr>
          <w:i/>
          <w:lang w:val="ro-RO" w:eastAsia="fr-FR"/>
        </w:rPr>
        <w:t>dat</w:t>
      </w:r>
      <w:r>
        <w:rPr>
          <w:i/>
          <w:lang w:val="ro-RO" w:eastAsia="fr-FR"/>
        </w:rPr>
        <w:t xml:space="preserve"> </w:t>
      </w:r>
      <w:r w:rsidRPr="0071061D">
        <w:rPr>
          <w:i/>
          <w:lang w:val="ro-RO" w:eastAsia="fr-FR"/>
        </w:rPr>
        <w:t>acordul</w:t>
      </w:r>
      <w:r>
        <w:rPr>
          <w:i/>
          <w:lang w:val="ro-RO" w:eastAsia="fr-FR"/>
        </w:rPr>
        <w:t xml:space="preserve"> </w:t>
      </w:r>
      <w:r w:rsidRPr="0071061D">
        <w:rPr>
          <w:i/>
          <w:lang w:val="ro-RO" w:eastAsia="fr-FR"/>
        </w:rPr>
        <w:t>la</w:t>
      </w:r>
      <w:r>
        <w:rPr>
          <w:i/>
          <w:lang w:val="ro-RO" w:eastAsia="fr-FR"/>
        </w:rPr>
        <w:t xml:space="preserve"> </w:t>
      </w:r>
      <w:r w:rsidRPr="0071061D">
        <w:rPr>
          <w:i/>
          <w:lang w:val="ro-RO" w:eastAsia="fr-FR"/>
        </w:rPr>
        <w:t>ridicarea</w:t>
      </w:r>
      <w:r>
        <w:rPr>
          <w:i/>
          <w:lang w:val="ro-RO" w:eastAsia="fr-FR"/>
        </w:rPr>
        <w:t xml:space="preserve"> </w:t>
      </w:r>
      <w:r w:rsidRPr="0071061D">
        <w:rPr>
          <w:i/>
          <w:lang w:val="ro-RO" w:eastAsia="fr-FR"/>
        </w:rPr>
        <w:t>secretului</w:t>
      </w:r>
      <w:r>
        <w:rPr>
          <w:i/>
          <w:lang w:val="ro-RO" w:eastAsia="fr-FR"/>
        </w:rPr>
        <w:t xml:space="preserve"> </w:t>
      </w:r>
      <w:r w:rsidRPr="0071061D">
        <w:rPr>
          <w:i/>
          <w:lang w:val="ro-RO" w:eastAsia="fr-FR"/>
        </w:rPr>
        <w:t>bancar.</w:t>
      </w:r>
    </w:p>
    <w:p w:rsidR="00886CFB" w:rsidRPr="0071061D" w:rsidRDefault="00886CFB" w:rsidP="00906B0E">
      <w:pPr>
        <w:pStyle w:val="ECHRParaQuote"/>
        <w:rPr>
          <w:i/>
          <w:lang w:val="ro-RO" w:eastAsia="fr-FR"/>
        </w:rPr>
      </w:pPr>
      <w:r w:rsidRPr="0071061D">
        <w:rPr>
          <w:i/>
          <w:lang w:val="ro-RO" w:eastAsia="fr-FR"/>
        </w:rPr>
        <w:t>(...)</w:t>
      </w:r>
    </w:p>
    <w:p w:rsidR="00886CFB" w:rsidRPr="0071061D" w:rsidRDefault="00886CFB" w:rsidP="00906B0E">
      <w:pPr>
        <w:pStyle w:val="ECHRParaQuote"/>
        <w:rPr>
          <w:i/>
          <w:lang w:val="ro-RO" w:eastAsia="fr-FR"/>
        </w:rPr>
      </w:pPr>
      <w:r w:rsidRPr="0071061D">
        <w:rPr>
          <w:i/>
          <w:lang w:val="ro-RO" w:eastAsia="fr-FR"/>
        </w:rPr>
        <w:t>„Având</w:t>
      </w:r>
      <w:r>
        <w:rPr>
          <w:i/>
          <w:lang w:val="ro-RO" w:eastAsia="fr-FR"/>
        </w:rPr>
        <w:t xml:space="preserve"> </w:t>
      </w:r>
      <w:r w:rsidRPr="0071061D">
        <w:rPr>
          <w:i/>
          <w:lang w:val="ro-RO" w:eastAsia="fr-FR"/>
        </w:rPr>
        <w:t>în</w:t>
      </w:r>
      <w:r>
        <w:rPr>
          <w:i/>
          <w:lang w:val="ro-RO" w:eastAsia="fr-FR"/>
        </w:rPr>
        <w:t xml:space="preserve"> </w:t>
      </w:r>
      <w:r w:rsidRPr="0071061D">
        <w:rPr>
          <w:i/>
          <w:lang w:val="ro-RO" w:eastAsia="fr-FR"/>
        </w:rPr>
        <w:t>vedere</w:t>
      </w:r>
      <w:r>
        <w:rPr>
          <w:i/>
          <w:lang w:val="ro-RO" w:eastAsia="fr-FR"/>
        </w:rPr>
        <w:t xml:space="preserve"> </w:t>
      </w:r>
      <w:r w:rsidRPr="0071061D">
        <w:rPr>
          <w:i/>
          <w:lang w:val="ro-RO" w:eastAsia="fr-FR"/>
        </w:rPr>
        <w:t>că</w:t>
      </w:r>
      <w:r>
        <w:rPr>
          <w:i/>
          <w:lang w:val="ro-RO" w:eastAsia="fr-FR"/>
        </w:rPr>
        <w:t xml:space="preserve"> </w:t>
      </w:r>
      <w:r w:rsidRPr="0071061D">
        <w:rPr>
          <w:i/>
          <w:lang w:val="ro-RO" w:eastAsia="fr-FR"/>
        </w:rPr>
        <w:t>secretul</w:t>
      </w:r>
      <w:r>
        <w:rPr>
          <w:i/>
          <w:lang w:val="ro-RO" w:eastAsia="fr-FR"/>
        </w:rPr>
        <w:t xml:space="preserve"> </w:t>
      </w:r>
      <w:r w:rsidRPr="0071061D">
        <w:rPr>
          <w:i/>
          <w:lang w:val="ro-RO" w:eastAsia="fr-FR"/>
        </w:rPr>
        <w:t>profesional</w:t>
      </w:r>
      <w:r>
        <w:rPr>
          <w:i/>
          <w:lang w:val="ro-RO" w:eastAsia="fr-FR"/>
        </w:rPr>
        <w:t xml:space="preserve"> </w:t>
      </w:r>
      <w:r w:rsidRPr="0071061D">
        <w:rPr>
          <w:i/>
          <w:lang w:val="ro-RO" w:eastAsia="fr-FR"/>
        </w:rPr>
        <w:t>nu</w:t>
      </w:r>
      <w:r>
        <w:rPr>
          <w:i/>
          <w:lang w:val="ro-RO" w:eastAsia="fr-FR"/>
        </w:rPr>
        <w:t xml:space="preserve"> </w:t>
      </w:r>
      <w:r w:rsidRPr="0071061D">
        <w:rPr>
          <w:i/>
          <w:lang w:val="ro-RO" w:eastAsia="fr-FR"/>
        </w:rPr>
        <w:t>este</w:t>
      </w:r>
      <w:r>
        <w:rPr>
          <w:i/>
          <w:lang w:val="ro-RO" w:eastAsia="fr-FR"/>
        </w:rPr>
        <w:t xml:space="preserve"> </w:t>
      </w:r>
      <w:r w:rsidRPr="0071061D">
        <w:rPr>
          <w:i/>
          <w:lang w:val="ro-RO" w:eastAsia="fr-FR"/>
        </w:rPr>
        <w:t>absolut</w:t>
      </w:r>
      <w:r>
        <w:rPr>
          <w:i/>
          <w:lang w:val="ro-RO" w:eastAsia="fr-FR"/>
        </w:rPr>
        <w:t xml:space="preserve"> </w:t>
      </w:r>
      <w:r w:rsidRPr="0071061D">
        <w:rPr>
          <w:i/>
          <w:lang w:val="ro-RO" w:eastAsia="fr-FR"/>
        </w:rPr>
        <w:t>şi</w:t>
      </w:r>
      <w:r>
        <w:rPr>
          <w:i/>
          <w:lang w:val="ro-RO" w:eastAsia="fr-FR"/>
        </w:rPr>
        <w:t xml:space="preserve"> </w:t>
      </w:r>
      <w:r w:rsidRPr="0071061D">
        <w:rPr>
          <w:i/>
          <w:lang w:val="ro-RO" w:eastAsia="fr-FR"/>
        </w:rPr>
        <w:t>nu</w:t>
      </w:r>
      <w:r>
        <w:rPr>
          <w:i/>
          <w:lang w:val="ro-RO" w:eastAsia="fr-FR"/>
        </w:rPr>
        <w:t xml:space="preserve"> </w:t>
      </w:r>
      <w:r w:rsidRPr="0071061D">
        <w:rPr>
          <w:i/>
          <w:lang w:val="ro-RO" w:eastAsia="fr-FR"/>
        </w:rPr>
        <w:t>poate</w:t>
      </w:r>
      <w:r>
        <w:rPr>
          <w:i/>
          <w:lang w:val="ro-RO" w:eastAsia="fr-FR"/>
        </w:rPr>
        <w:t xml:space="preserve"> </w:t>
      </w:r>
      <w:r w:rsidRPr="0071061D">
        <w:rPr>
          <w:i/>
          <w:lang w:val="ro-RO" w:eastAsia="fr-FR"/>
        </w:rPr>
        <w:t>împiedica</w:t>
      </w:r>
      <w:r>
        <w:rPr>
          <w:i/>
          <w:lang w:val="ro-RO" w:eastAsia="fr-FR"/>
        </w:rPr>
        <w:t xml:space="preserve"> </w:t>
      </w:r>
      <w:r w:rsidRPr="0071061D">
        <w:rPr>
          <w:i/>
          <w:lang w:val="ro-RO" w:eastAsia="fr-FR"/>
        </w:rPr>
        <w:t>administrarea</w:t>
      </w:r>
      <w:r>
        <w:rPr>
          <w:i/>
          <w:lang w:val="ro-RO" w:eastAsia="fr-FR"/>
        </w:rPr>
        <w:t xml:space="preserve"> </w:t>
      </w:r>
      <w:r w:rsidRPr="0071061D">
        <w:rPr>
          <w:i/>
          <w:lang w:val="ro-RO" w:eastAsia="fr-FR"/>
        </w:rPr>
        <w:t>justiţiei</w:t>
      </w:r>
      <w:r>
        <w:rPr>
          <w:i/>
          <w:lang w:val="ro-RO" w:eastAsia="fr-FR"/>
        </w:rPr>
        <w:t xml:space="preserve"> </w:t>
      </w:r>
      <w:r w:rsidRPr="0071061D">
        <w:rPr>
          <w:i/>
          <w:lang w:val="ro-RO" w:eastAsia="fr-FR"/>
        </w:rPr>
        <w:t>şi</w:t>
      </w:r>
      <w:r>
        <w:rPr>
          <w:i/>
          <w:lang w:val="ro-RO" w:eastAsia="fr-FR"/>
        </w:rPr>
        <w:t xml:space="preserve"> </w:t>
      </w:r>
      <w:r w:rsidRPr="0071061D">
        <w:rPr>
          <w:i/>
          <w:lang w:val="ro-RO" w:eastAsia="fr-FR"/>
        </w:rPr>
        <w:t>descoperirea</w:t>
      </w:r>
      <w:r>
        <w:rPr>
          <w:i/>
          <w:lang w:val="ro-RO" w:eastAsia="fr-FR"/>
        </w:rPr>
        <w:t xml:space="preserve"> </w:t>
      </w:r>
      <w:r w:rsidRPr="0071061D">
        <w:rPr>
          <w:i/>
          <w:lang w:val="ro-RO" w:eastAsia="fr-FR"/>
        </w:rPr>
        <w:t>adevărului</w:t>
      </w:r>
      <w:r>
        <w:rPr>
          <w:i/>
          <w:lang w:val="ro-RO" w:eastAsia="fr-FR"/>
        </w:rPr>
        <w:t xml:space="preserve"> </w:t>
      </w:r>
      <w:r w:rsidRPr="0071061D">
        <w:rPr>
          <w:i/>
          <w:lang w:val="ro-RO" w:eastAsia="fr-FR"/>
        </w:rPr>
        <w:t>material,</w:t>
      </w:r>
      <w:r>
        <w:rPr>
          <w:i/>
          <w:lang w:val="ro-RO" w:eastAsia="fr-FR"/>
        </w:rPr>
        <w:t xml:space="preserve"> </w:t>
      </w:r>
      <w:r w:rsidRPr="0071061D">
        <w:rPr>
          <w:i/>
          <w:lang w:val="ro-RO" w:eastAsia="fr-FR"/>
        </w:rPr>
        <w:t>estimăm</w:t>
      </w:r>
      <w:r>
        <w:rPr>
          <w:i/>
          <w:lang w:val="ro-RO" w:eastAsia="fr-FR"/>
        </w:rPr>
        <w:t xml:space="preserve"> </w:t>
      </w:r>
      <w:r w:rsidRPr="0071061D">
        <w:rPr>
          <w:i/>
          <w:lang w:val="ro-RO" w:eastAsia="fr-FR"/>
        </w:rPr>
        <w:t>că</w:t>
      </w:r>
      <w:r>
        <w:rPr>
          <w:i/>
          <w:lang w:val="ro-RO" w:eastAsia="fr-FR"/>
        </w:rPr>
        <w:t xml:space="preserve"> </w:t>
      </w:r>
      <w:r w:rsidRPr="0071061D">
        <w:rPr>
          <w:i/>
          <w:lang w:val="ro-RO" w:eastAsia="fr-FR"/>
        </w:rPr>
        <w:t>aceste</w:t>
      </w:r>
      <w:r>
        <w:rPr>
          <w:i/>
          <w:lang w:val="ro-RO" w:eastAsia="fr-FR"/>
        </w:rPr>
        <w:t xml:space="preserve"> </w:t>
      </w:r>
      <w:r w:rsidRPr="0071061D">
        <w:rPr>
          <w:i/>
          <w:lang w:val="ro-RO" w:eastAsia="fr-FR"/>
        </w:rPr>
        <w:t>valori</w:t>
      </w:r>
      <w:r>
        <w:rPr>
          <w:i/>
          <w:lang w:val="ro-RO" w:eastAsia="fr-FR"/>
        </w:rPr>
        <w:t xml:space="preserve"> </w:t>
      </w:r>
      <w:r w:rsidRPr="0071061D">
        <w:rPr>
          <w:i/>
          <w:lang w:val="ro-RO" w:eastAsia="fr-FR"/>
        </w:rPr>
        <w:t>sunt</w:t>
      </w:r>
      <w:r>
        <w:rPr>
          <w:i/>
          <w:lang w:val="ro-RO" w:eastAsia="fr-FR"/>
        </w:rPr>
        <w:t xml:space="preserve"> </w:t>
      </w:r>
      <w:r w:rsidRPr="0071061D">
        <w:rPr>
          <w:i/>
          <w:lang w:val="ro-RO" w:eastAsia="fr-FR"/>
        </w:rPr>
        <w:t>superioare</w:t>
      </w:r>
      <w:r>
        <w:rPr>
          <w:i/>
          <w:lang w:val="ro-RO" w:eastAsia="fr-FR"/>
        </w:rPr>
        <w:t xml:space="preserve"> </w:t>
      </w:r>
      <w:r w:rsidRPr="0071061D">
        <w:rPr>
          <w:i/>
          <w:lang w:val="ro-RO" w:eastAsia="fr-FR"/>
        </w:rPr>
        <w:t>celor</w:t>
      </w:r>
      <w:r>
        <w:rPr>
          <w:i/>
          <w:lang w:val="ro-RO" w:eastAsia="fr-FR"/>
        </w:rPr>
        <w:t xml:space="preserve"> </w:t>
      </w:r>
      <w:r w:rsidRPr="0071061D">
        <w:rPr>
          <w:i/>
          <w:lang w:val="ro-RO" w:eastAsia="fr-FR"/>
        </w:rPr>
        <w:t>pe</w:t>
      </w:r>
      <w:r>
        <w:rPr>
          <w:i/>
          <w:lang w:val="ro-RO" w:eastAsia="fr-FR"/>
        </w:rPr>
        <w:t xml:space="preserve"> </w:t>
      </w:r>
      <w:r w:rsidRPr="0071061D">
        <w:rPr>
          <w:i/>
          <w:lang w:val="ro-RO" w:eastAsia="fr-FR"/>
        </w:rPr>
        <w:t>care</w:t>
      </w:r>
      <w:r>
        <w:rPr>
          <w:i/>
          <w:lang w:val="ro-RO" w:eastAsia="fr-FR"/>
        </w:rPr>
        <w:t xml:space="preserve"> </w:t>
      </w:r>
      <w:r w:rsidRPr="0071061D">
        <w:rPr>
          <w:i/>
          <w:lang w:val="ro-RO" w:eastAsia="fr-FR"/>
        </w:rPr>
        <w:t>secretul</w:t>
      </w:r>
      <w:r>
        <w:rPr>
          <w:i/>
          <w:lang w:val="ro-RO" w:eastAsia="fr-FR"/>
        </w:rPr>
        <w:t xml:space="preserve"> </w:t>
      </w:r>
      <w:r w:rsidRPr="0071061D">
        <w:rPr>
          <w:i/>
          <w:lang w:val="ro-RO" w:eastAsia="fr-FR"/>
        </w:rPr>
        <w:t>profesional</w:t>
      </w:r>
      <w:r>
        <w:rPr>
          <w:i/>
          <w:lang w:val="ro-RO" w:eastAsia="fr-FR"/>
        </w:rPr>
        <w:t xml:space="preserve"> </w:t>
      </w:r>
      <w:r w:rsidRPr="0071061D">
        <w:rPr>
          <w:i/>
          <w:lang w:val="ro-RO" w:eastAsia="fr-FR"/>
        </w:rPr>
        <w:t>de</w:t>
      </w:r>
      <w:r>
        <w:rPr>
          <w:i/>
          <w:lang w:val="ro-RO" w:eastAsia="fr-FR"/>
        </w:rPr>
        <w:t xml:space="preserve"> </w:t>
      </w:r>
      <w:r w:rsidRPr="0071061D">
        <w:rPr>
          <w:i/>
          <w:lang w:val="ro-RO" w:eastAsia="fr-FR"/>
        </w:rPr>
        <w:t>avocat</w:t>
      </w:r>
      <w:r>
        <w:rPr>
          <w:i/>
          <w:lang w:val="ro-RO" w:eastAsia="fr-FR"/>
        </w:rPr>
        <w:t xml:space="preserve"> </w:t>
      </w:r>
      <w:r w:rsidRPr="0071061D">
        <w:rPr>
          <w:i/>
          <w:lang w:val="ro-RO" w:eastAsia="fr-FR"/>
        </w:rPr>
        <w:t>sau</w:t>
      </w:r>
      <w:r>
        <w:rPr>
          <w:i/>
          <w:lang w:val="ro-RO" w:eastAsia="fr-FR"/>
        </w:rPr>
        <w:t xml:space="preserve"> </w:t>
      </w:r>
      <w:r w:rsidRPr="0071061D">
        <w:rPr>
          <w:i/>
          <w:lang w:val="ro-RO" w:eastAsia="fr-FR"/>
        </w:rPr>
        <w:t>cel</w:t>
      </w:r>
      <w:r>
        <w:rPr>
          <w:i/>
          <w:lang w:val="ro-RO" w:eastAsia="fr-FR"/>
        </w:rPr>
        <w:t xml:space="preserve"> </w:t>
      </w:r>
      <w:r w:rsidRPr="0071061D">
        <w:rPr>
          <w:i/>
          <w:lang w:val="ro-RO" w:eastAsia="fr-FR"/>
        </w:rPr>
        <w:t>bancar</w:t>
      </w:r>
      <w:r>
        <w:rPr>
          <w:i/>
          <w:lang w:val="ro-RO" w:eastAsia="fr-FR"/>
        </w:rPr>
        <w:t xml:space="preserve"> </w:t>
      </w:r>
      <w:r w:rsidRPr="0071061D">
        <w:rPr>
          <w:i/>
          <w:lang w:val="ro-RO" w:eastAsia="fr-FR"/>
        </w:rPr>
        <w:t>urmăresc</w:t>
      </w:r>
      <w:r>
        <w:rPr>
          <w:i/>
          <w:lang w:val="ro-RO" w:eastAsia="fr-FR"/>
        </w:rPr>
        <w:t xml:space="preserve"> </w:t>
      </w:r>
      <w:r w:rsidRPr="0071061D">
        <w:rPr>
          <w:i/>
          <w:lang w:val="ro-RO" w:eastAsia="fr-FR"/>
        </w:rPr>
        <w:t>să</w:t>
      </w:r>
      <w:r>
        <w:rPr>
          <w:i/>
          <w:lang w:val="ro-RO" w:eastAsia="fr-FR"/>
        </w:rPr>
        <w:t xml:space="preserve"> </w:t>
      </w:r>
      <w:r w:rsidRPr="0071061D">
        <w:rPr>
          <w:i/>
          <w:lang w:val="ro-RO" w:eastAsia="fr-FR"/>
        </w:rPr>
        <w:t>le</w:t>
      </w:r>
      <w:r>
        <w:rPr>
          <w:i/>
          <w:lang w:val="ro-RO" w:eastAsia="fr-FR"/>
        </w:rPr>
        <w:t xml:space="preserve"> </w:t>
      </w:r>
      <w:r w:rsidRPr="0071061D">
        <w:rPr>
          <w:i/>
          <w:lang w:val="ro-RO" w:eastAsia="fr-FR"/>
        </w:rPr>
        <w:t>protejeze.</w:t>
      </w:r>
      <w:r>
        <w:rPr>
          <w:i/>
          <w:lang w:val="ro-RO" w:eastAsia="fr-FR"/>
        </w:rPr>
        <w:t xml:space="preserve"> </w:t>
      </w:r>
      <w:r w:rsidRPr="0071061D">
        <w:rPr>
          <w:i/>
          <w:lang w:val="ro-RO" w:eastAsia="fr-FR"/>
        </w:rPr>
        <w:t>Prin</w:t>
      </w:r>
      <w:r>
        <w:rPr>
          <w:i/>
          <w:lang w:val="ro-RO" w:eastAsia="fr-FR"/>
        </w:rPr>
        <w:t xml:space="preserve"> </w:t>
      </w:r>
      <w:r w:rsidRPr="0071061D">
        <w:rPr>
          <w:i/>
          <w:lang w:val="ro-RO" w:eastAsia="fr-FR"/>
        </w:rPr>
        <w:t>urmare,</w:t>
      </w:r>
      <w:r>
        <w:rPr>
          <w:i/>
          <w:lang w:val="ro-RO" w:eastAsia="fr-FR"/>
        </w:rPr>
        <w:t xml:space="preserve"> </w:t>
      </w:r>
      <w:r w:rsidRPr="0071061D">
        <w:rPr>
          <w:i/>
          <w:lang w:val="ro-RO" w:eastAsia="fr-FR"/>
        </w:rPr>
        <w:t>acesta</w:t>
      </w:r>
      <w:r>
        <w:rPr>
          <w:i/>
          <w:lang w:val="ro-RO" w:eastAsia="fr-FR"/>
        </w:rPr>
        <w:t xml:space="preserve"> </w:t>
      </w:r>
      <w:r w:rsidRPr="0071061D">
        <w:rPr>
          <w:i/>
          <w:lang w:val="ro-RO" w:eastAsia="fr-FR"/>
        </w:rPr>
        <w:t>trebuie</w:t>
      </w:r>
      <w:r>
        <w:rPr>
          <w:i/>
          <w:lang w:val="ro-RO" w:eastAsia="fr-FR"/>
        </w:rPr>
        <w:t xml:space="preserve"> </w:t>
      </w:r>
      <w:r w:rsidRPr="0071061D">
        <w:rPr>
          <w:i/>
          <w:lang w:val="ro-RO" w:eastAsia="fr-FR"/>
        </w:rPr>
        <w:t>să</w:t>
      </w:r>
      <w:r>
        <w:rPr>
          <w:i/>
          <w:lang w:val="ro-RO" w:eastAsia="fr-FR"/>
        </w:rPr>
        <w:t xml:space="preserve"> </w:t>
      </w:r>
      <w:r w:rsidRPr="0071061D">
        <w:rPr>
          <w:i/>
          <w:lang w:val="ro-RO" w:eastAsia="fr-FR"/>
        </w:rPr>
        <w:t>fie</w:t>
      </w:r>
      <w:r>
        <w:rPr>
          <w:i/>
          <w:lang w:val="ro-RO" w:eastAsia="fr-FR"/>
        </w:rPr>
        <w:t xml:space="preserve"> </w:t>
      </w:r>
      <w:r w:rsidRPr="0071061D">
        <w:rPr>
          <w:i/>
          <w:lang w:val="ro-RO" w:eastAsia="fr-FR"/>
        </w:rPr>
        <w:t>ridicat”</w:t>
      </w:r>
    </w:p>
    <w:p w:rsidR="00886CFB" w:rsidRPr="00054DEE" w:rsidRDefault="00886CFB" w:rsidP="00906B0E">
      <w:pPr>
        <w:ind w:firstLine="284"/>
        <w:rPr>
          <w:lang w:val="ro-RO" w:eastAsia="fr-FR"/>
        </w:rPr>
      </w:pPr>
      <w:r>
        <w:rPr>
          <w:lang w:val="ro-RO" w:eastAsia="fr-FR"/>
        </w:rPr>
        <w:t xml:space="preserve">Aşadar, judecătorul de instrucţie a cerut Curţii de Apel din </w:t>
      </w:r>
      <w:r w:rsidRPr="00054DEE">
        <w:rPr>
          <w:lang w:val="ro-RO" w:eastAsia="fr-FR"/>
        </w:rPr>
        <w:t>Évora</w:t>
      </w:r>
      <w:r>
        <w:rPr>
          <w:lang w:val="ro-RO" w:eastAsia="fr-FR"/>
        </w:rPr>
        <w:t xml:space="preserve"> să autorizeze ridicarea secretului profesional şi a celui bancar şi, în consecinţă</w:t>
      </w:r>
      <w:r w:rsidRPr="00054DEE">
        <w:rPr>
          <w:lang w:val="ro-RO" w:eastAsia="fr-FR"/>
        </w:rPr>
        <w:t>,</w:t>
      </w:r>
      <w:r>
        <w:rPr>
          <w:lang w:val="ro-RO" w:eastAsia="fr-FR"/>
        </w:rPr>
        <w:t xml:space="preserve"> accesul la conturile bancare ale reclamantei</w:t>
      </w:r>
      <w:r w:rsidRPr="00054DEE">
        <w:rPr>
          <w:lang w:val="ro-RO" w:eastAsia="fr-FR"/>
        </w:rPr>
        <w:t>,</w:t>
      </w:r>
      <w:r>
        <w:rPr>
          <w:lang w:val="ro-RO" w:eastAsia="fr-FR"/>
        </w:rPr>
        <w:t xml:space="preserve"> </w:t>
      </w:r>
      <w:r w:rsidRPr="00054DEE">
        <w:rPr>
          <w:lang w:val="ro-RO" w:eastAsia="fr-FR"/>
        </w:rPr>
        <w:t>conform</w:t>
      </w:r>
      <w:r>
        <w:rPr>
          <w:lang w:val="ro-RO" w:eastAsia="fr-FR"/>
        </w:rPr>
        <w:t xml:space="preserve"> articolului </w:t>
      </w:r>
      <w:r w:rsidRPr="00054DEE">
        <w:rPr>
          <w:lang w:val="ro-RO" w:eastAsia="fr-FR"/>
        </w:rPr>
        <w:t>135</w:t>
      </w:r>
      <w:r>
        <w:rPr>
          <w:lang w:val="ro-RO" w:eastAsia="fr-FR"/>
        </w:rPr>
        <w:t xml:space="preserve"> </w:t>
      </w:r>
      <w:r w:rsidRPr="00054DEE">
        <w:rPr>
          <w:lang w:val="ro-RO" w:eastAsia="fr-FR"/>
        </w:rPr>
        <w:t>§</w:t>
      </w:r>
      <w:r>
        <w:rPr>
          <w:lang w:val="ro-RO" w:eastAsia="fr-FR"/>
        </w:rPr>
        <w:t xml:space="preserve"> </w:t>
      </w:r>
      <w:r w:rsidRPr="00054DEE">
        <w:rPr>
          <w:lang w:val="ro-RO" w:eastAsia="fr-FR"/>
        </w:rPr>
        <w:t>3</w:t>
      </w:r>
      <w:r>
        <w:rPr>
          <w:lang w:val="ro-RO" w:eastAsia="fr-FR"/>
        </w:rPr>
        <w:t xml:space="preserve"> </w:t>
      </w:r>
      <w:r w:rsidRPr="00054DEE">
        <w:rPr>
          <w:lang w:val="ro-RO" w:eastAsia="fr-FR"/>
        </w:rPr>
        <w:t>d</w:t>
      </w:r>
      <w:r>
        <w:rPr>
          <w:lang w:val="ro-RO" w:eastAsia="fr-FR"/>
        </w:rPr>
        <w:t xml:space="preserve">in </w:t>
      </w:r>
      <w:r w:rsidRPr="00054DEE">
        <w:rPr>
          <w:lang w:val="ro-RO" w:eastAsia="fr-FR"/>
        </w:rPr>
        <w:t>CPP.</w:t>
      </w:r>
    </w:p>
    <w:p w:rsidR="00886CFB" w:rsidRPr="00054DEE" w:rsidRDefault="00886CFB" w:rsidP="00906B0E">
      <w:pPr>
        <w:ind w:firstLine="284"/>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11</w:t>
      </w:r>
      <w:r w:rsidRPr="00054DEE">
        <w:rPr>
          <w:lang w:val="ro-RO" w:eastAsia="fr-FR"/>
        </w:rPr>
        <w:fldChar w:fldCharType="end"/>
      </w:r>
      <w:r w:rsidRPr="00054DEE">
        <w:rPr>
          <w:lang w:val="ro-RO" w:eastAsia="fr-FR"/>
        </w:rPr>
        <w:t>.</w:t>
      </w:r>
      <w:r>
        <w:rPr>
          <w:lang w:val="ro-RO" w:eastAsia="fr-FR"/>
        </w:rPr>
        <w:t xml:space="preserve"> Pe data de </w:t>
      </w:r>
      <w:r w:rsidRPr="00054DEE">
        <w:rPr>
          <w:lang w:val="ro-RO" w:eastAsia="fr-FR"/>
        </w:rPr>
        <w:t>30</w:t>
      </w:r>
      <w:r>
        <w:rPr>
          <w:lang w:val="ro-RO" w:eastAsia="fr-FR"/>
        </w:rPr>
        <w:t xml:space="preserve"> noiembrie </w:t>
      </w:r>
      <w:r w:rsidRPr="00054DEE">
        <w:rPr>
          <w:lang w:val="ro-RO" w:eastAsia="fr-FR"/>
        </w:rPr>
        <w:t>2009,</w:t>
      </w:r>
      <w:r>
        <w:rPr>
          <w:lang w:val="ro-RO" w:eastAsia="fr-FR"/>
        </w:rPr>
        <w:t xml:space="preserve"> procurorul adjunct de pe lângă curtea de apel din </w:t>
      </w:r>
      <w:r w:rsidRPr="00054DEE">
        <w:rPr>
          <w:lang w:val="ro-RO" w:eastAsia="fr-FR"/>
        </w:rPr>
        <w:t>Évora</w:t>
      </w:r>
      <w:r>
        <w:rPr>
          <w:lang w:val="ro-RO" w:eastAsia="fr-FR"/>
        </w:rPr>
        <w:t xml:space="preserve"> a prezentat un aviz juridic care pleda pentru ridicarea secretului profesional</w:t>
      </w:r>
      <w:r w:rsidRPr="00054DEE">
        <w:rPr>
          <w:lang w:val="ro-RO" w:eastAsia="fr-FR"/>
        </w:rPr>
        <w:t>.</w:t>
      </w:r>
      <w:r>
        <w:rPr>
          <w:lang w:val="ro-RO" w:eastAsia="fr-FR"/>
        </w:rPr>
        <w:t xml:space="preserve"> Ea a evidenţiat că</w:t>
      </w:r>
      <w:r w:rsidRPr="00054DEE">
        <w:rPr>
          <w:lang w:val="ro-RO" w:eastAsia="fr-FR"/>
        </w:rPr>
        <w:t>,</w:t>
      </w:r>
      <w:r>
        <w:rPr>
          <w:lang w:val="ro-RO" w:eastAsia="fr-FR"/>
        </w:rPr>
        <w:t xml:space="preserve"> în dosarul de faţă, nevoile anchetei penale şi, în consecinţă, ale bunei administrări a justiţiei prevalau asupra interesului reclamantei</w:t>
      </w:r>
      <w:r w:rsidRPr="00054DEE">
        <w:rPr>
          <w:lang w:val="ro-RO" w:eastAsia="fr-FR"/>
        </w:rPr>
        <w:t>.</w:t>
      </w:r>
    </w:p>
    <w:p w:rsidR="00886CFB" w:rsidRPr="00054DEE" w:rsidRDefault="00886CFB" w:rsidP="00906B0E">
      <w:pPr>
        <w:ind w:firstLine="284"/>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12</w:t>
      </w:r>
      <w:r w:rsidRPr="00054DEE">
        <w:rPr>
          <w:lang w:val="ro-RO" w:eastAsia="fr-FR"/>
        </w:rPr>
        <w:fldChar w:fldCharType="end"/>
      </w:r>
      <w:r w:rsidRPr="00054DEE">
        <w:rPr>
          <w:lang w:val="ro-RO" w:eastAsia="fr-FR"/>
        </w:rPr>
        <w:t>.</w:t>
      </w:r>
      <w:r>
        <w:rPr>
          <w:lang w:val="ro-RO" w:eastAsia="fr-FR"/>
        </w:rPr>
        <w:t xml:space="preserve"> Pe </w:t>
      </w:r>
      <w:r w:rsidRPr="00054DEE">
        <w:rPr>
          <w:lang w:val="ro-RO" w:eastAsia="fr-FR"/>
        </w:rPr>
        <w:t>12</w:t>
      </w:r>
      <w:r>
        <w:rPr>
          <w:lang w:val="ro-RO" w:eastAsia="fr-FR"/>
        </w:rPr>
        <w:t xml:space="preserve"> ianuarie </w:t>
      </w:r>
      <w:r w:rsidRPr="00054DEE">
        <w:rPr>
          <w:lang w:val="ro-RO" w:eastAsia="fr-FR"/>
        </w:rPr>
        <w:t>2010,</w:t>
      </w:r>
      <w:r>
        <w:rPr>
          <w:lang w:val="ro-RO" w:eastAsia="fr-FR"/>
        </w:rPr>
        <w:t xml:space="preserve"> secţiunea penală a Curţii de Apel din </w:t>
      </w:r>
      <w:r w:rsidRPr="00054DEE">
        <w:rPr>
          <w:lang w:val="ro-RO" w:eastAsia="fr-FR"/>
        </w:rPr>
        <w:t>Évora</w:t>
      </w:r>
      <w:r>
        <w:rPr>
          <w:lang w:val="ro-RO" w:eastAsia="fr-FR"/>
        </w:rPr>
        <w:t xml:space="preserve"> şi-a pronunţat decizia</w:t>
      </w:r>
      <w:r w:rsidRPr="00054DEE">
        <w:rPr>
          <w:lang w:val="ro-RO" w:eastAsia="fr-FR"/>
        </w:rPr>
        <w:t>.</w:t>
      </w:r>
      <w:r>
        <w:rPr>
          <w:lang w:val="ro-RO" w:eastAsia="fr-FR"/>
        </w:rPr>
        <w:t xml:space="preserve"> </w:t>
      </w:r>
      <w:r w:rsidRPr="00054DEE">
        <w:rPr>
          <w:lang w:val="ro-RO" w:eastAsia="fr-FR"/>
        </w:rPr>
        <w:t>E</w:t>
      </w:r>
      <w:r>
        <w:rPr>
          <w:lang w:val="ro-RO" w:eastAsia="fr-FR"/>
        </w:rPr>
        <w:t xml:space="preserve">a a estimat că refuzul reclamantei de a oferi accesul la contul său bancar personal era legitim având în vedere secretul profesional şi cel bancar, însă că interesul </w:t>
      </w:r>
      <w:r w:rsidRPr="00054DEE">
        <w:rPr>
          <w:lang w:val="ro-RO" w:eastAsia="fr-FR"/>
        </w:rPr>
        <w:t>public</w:t>
      </w:r>
      <w:r>
        <w:rPr>
          <w:lang w:val="ro-RO" w:eastAsia="fr-FR"/>
        </w:rPr>
        <w:t xml:space="preserve"> trebuia să prevaleze asupra interesului personal</w:t>
      </w:r>
      <w:r w:rsidRPr="00054DEE">
        <w:rPr>
          <w:lang w:val="ro-RO" w:eastAsia="fr-FR"/>
        </w:rPr>
        <w:t>.</w:t>
      </w:r>
      <w:r>
        <w:rPr>
          <w:lang w:val="ro-RO" w:eastAsia="fr-FR"/>
        </w:rPr>
        <w:t xml:space="preserve"> Ea s-a exprimat astfel</w:t>
      </w:r>
      <w:r w:rsidRPr="00054DEE">
        <w:rPr>
          <w:lang w:val="ro-RO" w:eastAsia="fr-FR"/>
        </w:rPr>
        <w:t>:</w:t>
      </w:r>
    </w:p>
    <w:p w:rsidR="00886CFB" w:rsidRPr="00054DEE" w:rsidRDefault="00886CFB" w:rsidP="00906B0E">
      <w:pPr>
        <w:pStyle w:val="ECHRParaQuote"/>
        <w:rPr>
          <w:lang w:val="ro-RO" w:eastAsia="fr-FR"/>
        </w:rPr>
      </w:pPr>
      <w:r>
        <w:rPr>
          <w:lang w:val="ro-RO" w:eastAsia="fr-FR"/>
        </w:rPr>
        <w:t xml:space="preserve"> „</w:t>
      </w:r>
      <w:r w:rsidRPr="00054DEE">
        <w:rPr>
          <w:lang w:val="ro-RO" w:eastAsia="fr-FR"/>
        </w:rPr>
        <w:t>(...)</w:t>
      </w:r>
    </w:p>
    <w:p w:rsidR="00886CFB" w:rsidRPr="00054DEE" w:rsidRDefault="00886CFB" w:rsidP="00906B0E">
      <w:pPr>
        <w:pStyle w:val="ECHRParaQuote"/>
        <w:rPr>
          <w:lang w:val="ro-RO" w:eastAsia="fr-FR"/>
        </w:rPr>
      </w:pPr>
      <w:r>
        <w:rPr>
          <w:lang w:val="ro-RO" w:eastAsia="fr-FR"/>
        </w:rPr>
        <w:t>Având în vedere interesele concurente</w:t>
      </w:r>
      <w:r w:rsidRPr="00054DEE">
        <w:rPr>
          <w:lang w:val="ro-RO" w:eastAsia="fr-FR"/>
        </w:rPr>
        <w:t>,</w:t>
      </w:r>
      <w:r>
        <w:rPr>
          <w:lang w:val="ro-RO" w:eastAsia="fr-FR"/>
        </w:rPr>
        <w:t xml:space="preserve"> mai precis interesele protejate prin regulile secretului profesional menţionate şi interesul </w:t>
      </w:r>
      <w:r w:rsidRPr="00054DEE">
        <w:rPr>
          <w:lang w:val="ro-RO" w:eastAsia="fr-FR"/>
        </w:rPr>
        <w:t>public</w:t>
      </w:r>
      <w:r>
        <w:rPr>
          <w:lang w:val="ro-RO" w:eastAsia="fr-FR"/>
        </w:rPr>
        <w:t xml:space="preserve"> în ancheta penală</w:t>
      </w:r>
      <w:r w:rsidRPr="00054DEE">
        <w:rPr>
          <w:lang w:val="ro-RO" w:eastAsia="fr-FR"/>
        </w:rPr>
        <w:t>,</w:t>
      </w:r>
      <w:r>
        <w:rPr>
          <w:lang w:val="ro-RO" w:eastAsia="fr-FR"/>
        </w:rPr>
        <w:t xml:space="preserve"> care presupune obţinerea de elemente şi informaţii capabile să furnizeze dovada care va susţine, dacă este cazul, acuzaţia legată de acuzaţia penală</w:t>
      </w:r>
      <w:r w:rsidRPr="00054DEE">
        <w:rPr>
          <w:lang w:val="ro-RO" w:eastAsia="fr-FR"/>
        </w:rPr>
        <w:t>,</w:t>
      </w:r>
      <w:r>
        <w:rPr>
          <w:lang w:val="ro-RO" w:eastAsia="fr-FR"/>
        </w:rPr>
        <w:t xml:space="preserve"> va trebui ca primele să cedeze din motive naturale şi întemeiate faţă de cele din urmă</w:t>
      </w:r>
      <w:r w:rsidRPr="00054DEE">
        <w:rPr>
          <w:lang w:val="ro-RO" w:eastAsia="fr-FR"/>
        </w:rPr>
        <w:t>.</w:t>
      </w:r>
    </w:p>
    <w:p w:rsidR="00886CFB" w:rsidRPr="00054DEE" w:rsidRDefault="00886CFB" w:rsidP="00906B0E">
      <w:pPr>
        <w:pStyle w:val="ECHRParaQuote"/>
        <w:rPr>
          <w:lang w:val="ro-RO" w:eastAsia="fr-FR"/>
        </w:rPr>
      </w:pPr>
      <w:r>
        <w:rPr>
          <w:lang w:val="ro-RO" w:eastAsia="fr-FR"/>
        </w:rPr>
        <w:t>În prezenţa dosarului</w:t>
      </w:r>
      <w:r w:rsidRPr="00054DEE">
        <w:rPr>
          <w:lang w:val="ro-RO" w:eastAsia="fr-FR"/>
        </w:rPr>
        <w:t>,</w:t>
      </w:r>
      <w:r>
        <w:rPr>
          <w:lang w:val="ro-RO" w:eastAsia="fr-FR"/>
        </w:rPr>
        <w:t xml:space="preserve"> elementele căutate se dovedesc a fi indispensabile pentru ancheta penală</w:t>
      </w:r>
      <w:r w:rsidRPr="00054DEE">
        <w:rPr>
          <w:lang w:val="ro-RO" w:eastAsia="fr-FR"/>
        </w:rPr>
        <w:t>,</w:t>
      </w:r>
      <w:r>
        <w:rPr>
          <w:lang w:val="ro-RO" w:eastAsia="fr-FR"/>
        </w:rPr>
        <w:t xml:space="preserve"> aşa cum a relevat judecătorul de instrucţie în prima instanţă şi aşa cum a subliniat procurorul adjunct de pe lângă acest </w:t>
      </w:r>
      <w:r w:rsidRPr="00054DEE">
        <w:rPr>
          <w:lang w:val="ro-RO" w:eastAsia="fr-FR"/>
        </w:rPr>
        <w:t>tribunal.</w:t>
      </w:r>
      <w:r>
        <w:rPr>
          <w:lang w:val="ro-RO" w:eastAsia="fr-FR"/>
        </w:rPr>
        <w:t xml:space="preserve"> Acesta este motivul pentru care concluzionăm în acest dosar că interesul public va trebui să prevaleze asupra interesului privat în scopul unei bune administrări a actului de justiţie</w:t>
      </w:r>
      <w:r w:rsidRPr="00054DEE">
        <w:rPr>
          <w:lang w:val="ro-RO" w:eastAsia="fr-FR"/>
        </w:rPr>
        <w:t>:</w:t>
      </w:r>
      <w:r>
        <w:rPr>
          <w:lang w:val="ro-RO" w:eastAsia="fr-FR"/>
        </w:rPr>
        <w:t xml:space="preserve"> ridicarea obligaţiilor de păstrare a secretului este justificată, în acest caz, în vederea ponderării, expuse mai sus, a intereselor aflate în </w:t>
      </w:r>
      <w:r w:rsidRPr="00054DEE">
        <w:rPr>
          <w:lang w:val="ro-RO" w:eastAsia="fr-FR"/>
        </w:rPr>
        <w:t>confli</w:t>
      </w:r>
      <w:r>
        <w:rPr>
          <w:lang w:val="ro-RO" w:eastAsia="fr-FR"/>
        </w:rPr>
        <w:t>c</w:t>
      </w:r>
      <w:r w:rsidRPr="00054DEE">
        <w:rPr>
          <w:lang w:val="ro-RO" w:eastAsia="fr-FR"/>
        </w:rPr>
        <w:t>t.</w:t>
      </w:r>
    </w:p>
    <w:p w:rsidR="00886CFB" w:rsidRPr="00054DEE" w:rsidRDefault="00886CFB" w:rsidP="00906B0E">
      <w:pPr>
        <w:pStyle w:val="ECHRParaQuote"/>
        <w:rPr>
          <w:lang w:val="ro-RO" w:eastAsia="fr-FR"/>
        </w:rPr>
      </w:pPr>
      <w:r w:rsidRPr="00054DEE">
        <w:rPr>
          <w:lang w:val="ro-RO" w:eastAsia="fr-FR"/>
        </w:rPr>
        <w:t>(...)</w:t>
      </w:r>
      <w:r>
        <w:rPr>
          <w:lang w:val="ro-RO" w:eastAsia="fr-FR"/>
        </w:rPr>
        <w:t>”</w:t>
      </w:r>
    </w:p>
    <w:p w:rsidR="00886CFB" w:rsidRPr="00054DEE" w:rsidRDefault="00886CFB" w:rsidP="00906B0E">
      <w:pPr>
        <w:pStyle w:val="JuParaSub"/>
        <w:ind w:left="0"/>
        <w:rPr>
          <w:lang w:val="ro-RO" w:eastAsia="fr-FR"/>
        </w:rPr>
      </w:pPr>
      <w:r>
        <w:rPr>
          <w:lang w:val="ro-RO" w:eastAsia="fr-FR"/>
        </w:rPr>
        <w:t xml:space="preserve">Dând curs pretenţiei ministerului </w:t>
      </w:r>
      <w:r w:rsidRPr="00054DEE">
        <w:rPr>
          <w:lang w:val="ro-RO" w:eastAsia="fr-FR"/>
        </w:rPr>
        <w:t>public,</w:t>
      </w:r>
      <w:r>
        <w:rPr>
          <w:lang w:val="ro-RO" w:eastAsia="fr-FR"/>
        </w:rPr>
        <w:t xml:space="preserve"> în conformitate cu articolul </w:t>
      </w:r>
      <w:r w:rsidRPr="00054DEE">
        <w:rPr>
          <w:lang w:val="ro-RO" w:eastAsia="fr-FR"/>
        </w:rPr>
        <w:t>135</w:t>
      </w:r>
      <w:r>
        <w:rPr>
          <w:lang w:val="ro-RO" w:eastAsia="fr-FR"/>
        </w:rPr>
        <w:t xml:space="preserve"> </w:t>
      </w:r>
      <w:r w:rsidRPr="00054DEE">
        <w:rPr>
          <w:lang w:val="ro-RO" w:eastAsia="fr-FR"/>
        </w:rPr>
        <w:t>§</w:t>
      </w:r>
      <w:r>
        <w:rPr>
          <w:lang w:val="ro-RO" w:eastAsia="fr-FR"/>
        </w:rPr>
        <w:t xml:space="preserve"> </w:t>
      </w:r>
      <w:r w:rsidRPr="00054DEE">
        <w:rPr>
          <w:lang w:val="ro-RO" w:eastAsia="fr-FR"/>
        </w:rPr>
        <w:t>3</w:t>
      </w:r>
      <w:r>
        <w:rPr>
          <w:lang w:val="ro-RO" w:eastAsia="fr-FR"/>
        </w:rPr>
        <w:t xml:space="preserve"> </w:t>
      </w:r>
      <w:r w:rsidRPr="00054DEE">
        <w:rPr>
          <w:lang w:val="ro-RO" w:eastAsia="fr-FR"/>
        </w:rPr>
        <w:t>d</w:t>
      </w:r>
      <w:r>
        <w:rPr>
          <w:lang w:val="ro-RO" w:eastAsia="fr-FR"/>
        </w:rPr>
        <w:t xml:space="preserve">in </w:t>
      </w:r>
      <w:r w:rsidRPr="00054DEE">
        <w:rPr>
          <w:lang w:val="ro-RO" w:eastAsia="fr-FR"/>
        </w:rPr>
        <w:t>CPP,</w:t>
      </w:r>
      <w:r>
        <w:rPr>
          <w:lang w:val="ro-RO" w:eastAsia="fr-FR"/>
        </w:rPr>
        <w:t xml:space="preserve"> curtea de apel a dispus ridicarea secretului profesional şi a secretului bancar</w:t>
      </w:r>
      <w:r w:rsidRPr="00054DEE">
        <w:rPr>
          <w:lang w:val="ro-RO" w:eastAsia="fr-FR"/>
        </w:rPr>
        <w:t>,</w:t>
      </w:r>
      <w:r>
        <w:rPr>
          <w:lang w:val="ro-RO" w:eastAsia="fr-FR"/>
        </w:rPr>
        <w:t xml:space="preserve"> solicitând Băncii </w:t>
      </w:r>
      <w:r w:rsidRPr="00054DEE">
        <w:rPr>
          <w:lang w:val="ro-RO" w:eastAsia="fr-FR"/>
        </w:rPr>
        <w:t>Portugal</w:t>
      </w:r>
      <w:r>
        <w:rPr>
          <w:lang w:val="ro-RO" w:eastAsia="fr-FR"/>
        </w:rPr>
        <w:t xml:space="preserve">iei să identifice toate conturile bancare deţinute de reclamantă în 2005 şi în </w:t>
      </w:r>
      <w:r w:rsidRPr="00054DEE">
        <w:rPr>
          <w:lang w:val="ro-RO" w:eastAsia="fr-FR"/>
        </w:rPr>
        <w:t>2006,</w:t>
      </w:r>
      <w:r>
        <w:rPr>
          <w:lang w:val="ro-RO" w:eastAsia="fr-FR"/>
        </w:rPr>
        <w:t xml:space="preserve"> pentru ca operaţiunile efectuate în aceste conturi să fie aduse la cunoştinţa parchetului</w:t>
      </w:r>
      <w:r w:rsidRPr="00054DEE">
        <w:rPr>
          <w:lang w:val="ro-RO" w:eastAsia="fr-FR"/>
        </w:rPr>
        <w:t>.</w:t>
      </w:r>
    </w:p>
    <w:p w:rsidR="00886CFB" w:rsidRPr="00054DEE" w:rsidRDefault="00886CFB" w:rsidP="00906B0E">
      <w:pPr>
        <w:ind w:firstLine="284"/>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13</w:t>
      </w:r>
      <w:r w:rsidRPr="00054DEE">
        <w:rPr>
          <w:lang w:val="ro-RO" w:eastAsia="fr-FR"/>
        </w:rPr>
        <w:fldChar w:fldCharType="end"/>
      </w:r>
      <w:r w:rsidRPr="00054DEE">
        <w:rPr>
          <w:lang w:val="ro-RO" w:eastAsia="fr-FR"/>
        </w:rPr>
        <w:t>.</w:t>
      </w:r>
      <w:r>
        <w:rPr>
          <w:lang w:val="ro-RO" w:eastAsia="fr-FR"/>
        </w:rPr>
        <w:t xml:space="preserve"> Pe </w:t>
      </w:r>
      <w:r w:rsidRPr="00054DEE">
        <w:rPr>
          <w:lang w:val="ro-RO" w:eastAsia="fr-FR"/>
        </w:rPr>
        <w:t>9</w:t>
      </w:r>
      <w:r>
        <w:rPr>
          <w:lang w:val="ro-RO" w:eastAsia="fr-FR"/>
        </w:rPr>
        <w:t xml:space="preserve"> februarie </w:t>
      </w:r>
      <w:r w:rsidRPr="00054DEE">
        <w:rPr>
          <w:lang w:val="ro-RO" w:eastAsia="fr-FR"/>
        </w:rPr>
        <w:t>2010,</w:t>
      </w:r>
      <w:r>
        <w:rPr>
          <w:lang w:val="ro-RO" w:eastAsia="fr-FR"/>
        </w:rPr>
        <w:t xml:space="preserve"> reclamanta a atacat decizia curţii de apel din </w:t>
      </w:r>
      <w:r w:rsidRPr="00054DEE">
        <w:rPr>
          <w:lang w:val="ro-RO" w:eastAsia="fr-FR"/>
        </w:rPr>
        <w:t>Évora</w:t>
      </w:r>
      <w:r>
        <w:rPr>
          <w:lang w:val="ro-RO" w:eastAsia="fr-FR"/>
        </w:rPr>
        <w:t xml:space="preserve"> în faţa Curţii S</w:t>
      </w:r>
      <w:r w:rsidRPr="00054DEE">
        <w:rPr>
          <w:lang w:val="ro-RO" w:eastAsia="fr-FR"/>
        </w:rPr>
        <w:t>upr</w:t>
      </w:r>
      <w:r>
        <w:rPr>
          <w:lang w:val="ro-RO" w:eastAsia="fr-FR"/>
        </w:rPr>
        <w:t>e</w:t>
      </w:r>
      <w:r w:rsidRPr="00054DEE">
        <w:rPr>
          <w:lang w:val="ro-RO" w:eastAsia="fr-FR"/>
        </w:rPr>
        <w:t>me</w:t>
      </w:r>
      <w:r>
        <w:rPr>
          <w:lang w:val="ro-RO" w:eastAsia="fr-FR"/>
        </w:rPr>
        <w:t xml:space="preserve"> denunţând lipsa de competenţă a secţiei penale a curţii de apel de a se pronunţa asupra problemei ridicate şi absenţa </w:t>
      </w:r>
      <w:r>
        <w:rPr>
          <w:lang w:val="ro-RO" w:eastAsia="fr-FR"/>
        </w:rPr>
        <w:lastRenderedPageBreak/>
        <w:t xml:space="preserve">consultării </w:t>
      </w:r>
      <w:r>
        <w:rPr>
          <w:lang w:val="ro-RO"/>
        </w:rPr>
        <w:t xml:space="preserve">Baroului </w:t>
      </w:r>
      <w:r>
        <w:rPr>
          <w:lang w:val="ro-RO" w:eastAsia="fr-FR"/>
        </w:rPr>
        <w:t>în cursul procedurii</w:t>
      </w:r>
      <w:r w:rsidRPr="00054DEE">
        <w:rPr>
          <w:lang w:val="ro-RO" w:eastAsia="fr-FR"/>
        </w:rPr>
        <w:t>,</w:t>
      </w:r>
      <w:r>
        <w:rPr>
          <w:lang w:val="ro-RO" w:eastAsia="fr-FR"/>
        </w:rPr>
        <w:t xml:space="preserve"> cu încălcarea Art. </w:t>
      </w:r>
      <w:r w:rsidRPr="00054DEE">
        <w:rPr>
          <w:lang w:val="ro-RO" w:eastAsia="fr-FR"/>
        </w:rPr>
        <w:t>135</w:t>
      </w:r>
      <w:r>
        <w:rPr>
          <w:lang w:val="ro-RO" w:eastAsia="fr-FR"/>
        </w:rPr>
        <w:t xml:space="preserve"> </w:t>
      </w:r>
      <w:r w:rsidRPr="00054DEE">
        <w:rPr>
          <w:lang w:val="ro-RO" w:eastAsia="fr-FR"/>
        </w:rPr>
        <w:t>§</w:t>
      </w:r>
      <w:r>
        <w:rPr>
          <w:lang w:val="ro-RO" w:eastAsia="fr-FR"/>
        </w:rPr>
        <w:t xml:space="preserve"> </w:t>
      </w:r>
      <w:r w:rsidRPr="00054DEE">
        <w:rPr>
          <w:lang w:val="ro-RO" w:eastAsia="fr-FR"/>
        </w:rPr>
        <w:t>4</w:t>
      </w:r>
      <w:r>
        <w:rPr>
          <w:lang w:val="ro-RO" w:eastAsia="fr-FR"/>
        </w:rPr>
        <w:t xml:space="preserve"> </w:t>
      </w:r>
      <w:r w:rsidRPr="00054DEE">
        <w:rPr>
          <w:lang w:val="ro-RO" w:eastAsia="fr-FR"/>
        </w:rPr>
        <w:t>d</w:t>
      </w:r>
      <w:r>
        <w:rPr>
          <w:lang w:val="ro-RO" w:eastAsia="fr-FR"/>
        </w:rPr>
        <w:t xml:space="preserve">in </w:t>
      </w:r>
      <w:r w:rsidRPr="00054DEE">
        <w:rPr>
          <w:lang w:val="ro-RO" w:eastAsia="fr-FR"/>
        </w:rPr>
        <w:t>CPP</w:t>
      </w:r>
      <w:r>
        <w:rPr>
          <w:lang w:val="ro-RO" w:eastAsia="fr-FR"/>
        </w:rPr>
        <w:t xml:space="preserve"> şi a articolului </w:t>
      </w:r>
      <w:r w:rsidRPr="00054DEE">
        <w:rPr>
          <w:lang w:val="ro-RO" w:eastAsia="fr-FR"/>
        </w:rPr>
        <w:t>87</w:t>
      </w:r>
      <w:r>
        <w:rPr>
          <w:lang w:val="ro-RO" w:eastAsia="fr-FR"/>
        </w:rPr>
        <w:t xml:space="preserve"> din statutul </w:t>
      </w:r>
      <w:r>
        <w:rPr>
          <w:lang w:val="ro-RO"/>
        </w:rPr>
        <w:t>Baroului</w:t>
      </w:r>
      <w:r w:rsidRPr="00054DEE">
        <w:rPr>
          <w:lang w:val="ro-RO" w:eastAsia="fr-FR"/>
        </w:rPr>
        <w:t>.</w:t>
      </w:r>
    </w:p>
    <w:p w:rsidR="00886CFB" w:rsidRPr="00054DEE" w:rsidRDefault="00886CFB" w:rsidP="00906B0E">
      <w:pPr>
        <w:ind w:firstLine="284"/>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14</w:t>
      </w:r>
      <w:r w:rsidRPr="00054DEE">
        <w:rPr>
          <w:lang w:val="ro-RO" w:eastAsia="fr-FR"/>
        </w:rPr>
        <w:fldChar w:fldCharType="end"/>
      </w:r>
      <w:r w:rsidRPr="00054DEE">
        <w:rPr>
          <w:lang w:val="ro-RO" w:eastAsia="fr-FR"/>
        </w:rPr>
        <w:t>.</w:t>
      </w:r>
      <w:r>
        <w:rPr>
          <w:lang w:val="ro-RO" w:eastAsia="fr-FR"/>
        </w:rPr>
        <w:t xml:space="preserve"> Pe data de 9 iunie </w:t>
      </w:r>
      <w:r w:rsidRPr="00054DEE">
        <w:rPr>
          <w:lang w:val="ro-RO" w:eastAsia="fr-FR"/>
        </w:rPr>
        <w:t>2010,</w:t>
      </w:r>
      <w:r>
        <w:rPr>
          <w:lang w:val="ro-RO" w:eastAsia="fr-FR"/>
        </w:rPr>
        <w:t xml:space="preserve"> Consiliul </w:t>
      </w:r>
      <w:r>
        <w:rPr>
          <w:lang w:val="ro-RO"/>
        </w:rPr>
        <w:t xml:space="preserve">Baroului din </w:t>
      </w:r>
      <w:r>
        <w:rPr>
          <w:lang w:val="ro-RO" w:eastAsia="fr-FR"/>
        </w:rPr>
        <w:t xml:space="preserve">districtul </w:t>
      </w:r>
      <w:r w:rsidRPr="00054DEE">
        <w:rPr>
          <w:lang w:val="ro-RO" w:eastAsia="fr-FR"/>
        </w:rPr>
        <w:t>Faro</w:t>
      </w:r>
      <w:r>
        <w:rPr>
          <w:lang w:val="ro-RO" w:eastAsia="fr-FR"/>
        </w:rPr>
        <w:t xml:space="preserve"> a respins o cerere care fusese depusă de reclamantă pentru a fi exonerată de secretul profesional privind operaţiunile efectuate în contul său bancar în </w:t>
      </w:r>
      <w:r w:rsidRPr="00054DEE">
        <w:rPr>
          <w:lang w:val="ro-RO" w:eastAsia="fr-FR"/>
        </w:rPr>
        <w:t>2006</w:t>
      </w:r>
      <w:r>
        <w:rPr>
          <w:lang w:val="ro-RO" w:eastAsia="fr-FR"/>
        </w:rPr>
        <w:t xml:space="preserve"> în cadrul procedurii penale deschise împotriva sa</w:t>
      </w:r>
      <w:r w:rsidRPr="00054DEE">
        <w:rPr>
          <w:lang w:val="ro-RO" w:eastAsia="fr-FR"/>
        </w:rPr>
        <w:t>.</w:t>
      </w:r>
      <w:r>
        <w:rPr>
          <w:lang w:val="ro-RO" w:eastAsia="fr-FR"/>
        </w:rPr>
        <w:t xml:space="preserve"> El a estimat că cererea sa nu era suficient de bine justificată, deoarece reclamanta nu specificase dacă operaţiunile bancare în cauză vizau transferurile bancare dispuse sau efectuate de clienţi şi dacă divulgarea acestor informaţii era indispensabilă pentru apărarea drepturilor sale sau ale celor ale clienţilor săi</w:t>
      </w:r>
      <w:r w:rsidRPr="00054DEE">
        <w:rPr>
          <w:lang w:val="ro-RO" w:eastAsia="fr-FR"/>
        </w:rPr>
        <w:t>.</w:t>
      </w:r>
    </w:p>
    <w:p w:rsidR="00886CFB" w:rsidRPr="00054DEE" w:rsidRDefault="00886CFB" w:rsidP="00906B0E">
      <w:pPr>
        <w:ind w:firstLine="284"/>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15</w:t>
      </w:r>
      <w:r w:rsidRPr="00054DEE">
        <w:rPr>
          <w:lang w:val="ro-RO" w:eastAsia="fr-FR"/>
        </w:rPr>
        <w:fldChar w:fldCharType="end"/>
      </w:r>
      <w:r w:rsidRPr="00054DEE">
        <w:rPr>
          <w:lang w:val="ro-RO" w:eastAsia="fr-FR"/>
        </w:rPr>
        <w:t>.</w:t>
      </w:r>
      <w:r>
        <w:rPr>
          <w:lang w:val="ro-RO" w:eastAsia="fr-FR"/>
        </w:rPr>
        <w:t xml:space="preserve"> Pe data de </w:t>
      </w:r>
      <w:r w:rsidRPr="00054DEE">
        <w:rPr>
          <w:lang w:val="ro-RO" w:eastAsia="fr-FR"/>
        </w:rPr>
        <w:t>23</w:t>
      </w:r>
      <w:r>
        <w:rPr>
          <w:lang w:val="ro-RO" w:eastAsia="fr-FR"/>
        </w:rPr>
        <w:t xml:space="preserve"> februarie </w:t>
      </w:r>
      <w:r w:rsidRPr="00054DEE">
        <w:rPr>
          <w:lang w:val="ro-RO" w:eastAsia="fr-FR"/>
        </w:rPr>
        <w:t>2010,</w:t>
      </w:r>
      <w:r>
        <w:rPr>
          <w:lang w:val="ro-RO" w:eastAsia="fr-FR"/>
        </w:rPr>
        <w:t xml:space="preserve"> ministerul </w:t>
      </w:r>
      <w:r w:rsidRPr="00054DEE">
        <w:rPr>
          <w:lang w:val="ro-RO" w:eastAsia="fr-FR"/>
        </w:rPr>
        <w:t>public</w:t>
      </w:r>
      <w:r>
        <w:rPr>
          <w:lang w:val="ro-RO" w:eastAsia="fr-FR"/>
        </w:rPr>
        <w:t xml:space="preserve"> şi-a prezentat pledoaria pentru inadmisibilitatea recursului formulat de reclamantă în faţa Curţii Supreme</w:t>
      </w:r>
      <w:r w:rsidRPr="00054DEE">
        <w:rPr>
          <w:lang w:val="ro-RO" w:eastAsia="fr-FR"/>
        </w:rPr>
        <w:t>.</w:t>
      </w:r>
    </w:p>
    <w:p w:rsidR="00886CFB" w:rsidRPr="00054DEE" w:rsidRDefault="00886CFB" w:rsidP="00906B0E">
      <w:pPr>
        <w:ind w:firstLine="284"/>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16</w:t>
      </w:r>
      <w:r w:rsidRPr="00054DEE">
        <w:rPr>
          <w:lang w:val="ro-RO" w:eastAsia="fr-FR"/>
        </w:rPr>
        <w:fldChar w:fldCharType="end"/>
      </w:r>
      <w:r w:rsidRPr="00054DEE">
        <w:rPr>
          <w:lang w:val="ro-RO" w:eastAsia="fr-FR"/>
        </w:rPr>
        <w:t>.</w:t>
      </w:r>
      <w:r>
        <w:rPr>
          <w:lang w:val="ro-RO" w:eastAsia="fr-FR"/>
        </w:rPr>
        <w:t xml:space="preserve"> Printr-o decizie din data de 2 iunie </w:t>
      </w:r>
      <w:r w:rsidRPr="00054DEE">
        <w:rPr>
          <w:lang w:val="ro-RO" w:eastAsia="fr-FR"/>
        </w:rPr>
        <w:t>2010,</w:t>
      </w:r>
      <w:r>
        <w:rPr>
          <w:lang w:val="ro-RO" w:eastAsia="fr-FR"/>
        </w:rPr>
        <w:t xml:space="preserve"> Curtea Supremă a declarat recursul reclamantei ca inadmisibil pe motiv că nu erau îndeplinite condiţiile prevăzute în articolul 432 din </w:t>
      </w:r>
      <w:r w:rsidRPr="00054DEE">
        <w:rPr>
          <w:lang w:val="ro-RO" w:eastAsia="fr-FR"/>
        </w:rPr>
        <w:t>CPP.</w:t>
      </w:r>
      <w:r>
        <w:rPr>
          <w:lang w:val="ro-RO" w:eastAsia="fr-FR"/>
        </w:rPr>
        <w:t xml:space="preserve"> Curtea Supremă a estimat că, în cauză</w:t>
      </w:r>
      <w:r w:rsidRPr="00054DEE">
        <w:rPr>
          <w:lang w:val="ro-RO" w:eastAsia="fr-FR"/>
        </w:rPr>
        <w:t>,</w:t>
      </w:r>
      <w:r>
        <w:rPr>
          <w:lang w:val="ro-RO" w:eastAsia="fr-FR"/>
        </w:rPr>
        <w:t xml:space="preserve"> nu se putea considera că se luase o decizie în primă instanţă în măsura în care incidentul ridicării secretului profesional şi a celui bancar fusese deschis în cursul anchetei de către parchetul de pe lângă tribunalul din </w:t>
      </w:r>
      <w:r w:rsidRPr="00054DEE">
        <w:rPr>
          <w:lang w:val="ro-RO" w:eastAsia="fr-FR"/>
        </w:rPr>
        <w:t>Faro</w:t>
      </w:r>
      <w:r>
        <w:rPr>
          <w:lang w:val="ro-RO" w:eastAsia="fr-FR"/>
        </w:rPr>
        <w:t xml:space="preserve"> care transmisese dosarul autorităţii judiciare compe</w:t>
      </w:r>
      <w:r w:rsidRPr="00054DEE">
        <w:rPr>
          <w:lang w:val="ro-RO" w:eastAsia="fr-FR"/>
        </w:rPr>
        <w:t>tente,</w:t>
      </w:r>
      <w:r>
        <w:rPr>
          <w:lang w:val="ro-RO" w:eastAsia="fr-FR"/>
        </w:rPr>
        <w:t xml:space="preserve"> mai precis „judecătorului de primă instanţă”</w:t>
      </w:r>
      <w:r w:rsidRPr="00054DEE">
        <w:rPr>
          <w:lang w:val="ro-RO" w:eastAsia="fr-FR"/>
        </w:rPr>
        <w:t>.</w:t>
      </w:r>
      <w:r>
        <w:rPr>
          <w:lang w:val="ro-RO" w:eastAsia="fr-FR"/>
        </w:rPr>
        <w:t xml:space="preserve"> În plus</w:t>
      </w:r>
      <w:r w:rsidRPr="00054DEE">
        <w:rPr>
          <w:lang w:val="ro-RO" w:eastAsia="fr-FR"/>
        </w:rPr>
        <w:t>,</w:t>
      </w:r>
      <w:r>
        <w:rPr>
          <w:lang w:val="ro-RO" w:eastAsia="fr-FR"/>
        </w:rPr>
        <w:t xml:space="preserve"> Curtea Supremă a considerat că hotărârea curţii de apel se referea la o chestiune procedurală şi nu la fondul cauzei</w:t>
      </w:r>
      <w:r w:rsidRPr="00054DEE">
        <w:rPr>
          <w:lang w:val="ro-RO" w:eastAsia="fr-FR"/>
        </w:rPr>
        <w:t>,</w:t>
      </w:r>
      <w:r>
        <w:rPr>
          <w:lang w:val="ro-RO" w:eastAsia="fr-FR"/>
        </w:rPr>
        <w:t xml:space="preserve"> neoferind astfel un termen obiectului procedurii aşa cum este acesta stipulat de Art. </w:t>
      </w:r>
      <w:r w:rsidRPr="00054DEE">
        <w:rPr>
          <w:lang w:val="ro-RO" w:eastAsia="fr-FR"/>
        </w:rPr>
        <w:t>400</w:t>
      </w:r>
      <w:r>
        <w:rPr>
          <w:lang w:val="ro-RO" w:eastAsia="fr-FR"/>
        </w:rPr>
        <w:t xml:space="preserve">, </w:t>
      </w:r>
      <w:r w:rsidRPr="00054DEE">
        <w:rPr>
          <w:lang w:val="ro-RO" w:eastAsia="fr-FR"/>
        </w:rPr>
        <w:t>§</w:t>
      </w:r>
      <w:r>
        <w:rPr>
          <w:lang w:val="ro-RO" w:eastAsia="fr-FR"/>
        </w:rPr>
        <w:t xml:space="preserve"> </w:t>
      </w:r>
      <w:r w:rsidRPr="00054DEE">
        <w:rPr>
          <w:lang w:val="ro-RO" w:eastAsia="fr-FR"/>
        </w:rPr>
        <w:t>1</w:t>
      </w:r>
      <w:r>
        <w:rPr>
          <w:lang w:val="ro-RO" w:eastAsia="fr-FR"/>
        </w:rPr>
        <w:t xml:space="preserve"> litera </w:t>
      </w:r>
      <w:r w:rsidRPr="00054DEE">
        <w:rPr>
          <w:lang w:val="ro-RO" w:eastAsia="fr-FR"/>
        </w:rPr>
        <w:t>c)</w:t>
      </w:r>
      <w:r>
        <w:rPr>
          <w:lang w:val="ro-RO" w:eastAsia="fr-FR"/>
        </w:rPr>
        <w:t xml:space="preserve"> </w:t>
      </w:r>
      <w:r w:rsidRPr="00054DEE">
        <w:rPr>
          <w:lang w:val="ro-RO" w:eastAsia="fr-FR"/>
        </w:rPr>
        <w:t>d</w:t>
      </w:r>
      <w:r>
        <w:rPr>
          <w:lang w:val="ro-RO" w:eastAsia="fr-FR"/>
        </w:rPr>
        <w:t xml:space="preserve">in </w:t>
      </w:r>
      <w:r w:rsidRPr="00054DEE">
        <w:rPr>
          <w:lang w:val="ro-RO" w:eastAsia="fr-FR"/>
        </w:rPr>
        <w:t>CPP.</w:t>
      </w:r>
      <w:r>
        <w:rPr>
          <w:lang w:val="ro-RO" w:eastAsia="fr-FR"/>
        </w:rPr>
        <w:t xml:space="preserve"> În acest caz</w:t>
      </w:r>
      <w:r w:rsidRPr="00054DEE">
        <w:rPr>
          <w:lang w:val="ro-RO" w:eastAsia="fr-FR"/>
        </w:rPr>
        <w:t>,</w:t>
      </w:r>
      <w:r>
        <w:rPr>
          <w:lang w:val="ro-RO" w:eastAsia="fr-FR"/>
        </w:rPr>
        <w:t xml:space="preserve"> Curtea Supremă s-a exprimat astfel</w:t>
      </w:r>
      <w:r w:rsidRPr="00054DEE">
        <w:rPr>
          <w:lang w:val="ro-RO" w:eastAsia="fr-FR"/>
        </w:rPr>
        <w:t>:</w:t>
      </w:r>
    </w:p>
    <w:p w:rsidR="00886CFB" w:rsidRPr="00054DEE" w:rsidRDefault="00886CFB" w:rsidP="00906B0E">
      <w:pPr>
        <w:spacing w:before="120" w:after="120"/>
        <w:ind w:left="425" w:firstLine="142"/>
        <w:rPr>
          <w:sz w:val="20"/>
          <w:lang w:val="ro-RO" w:eastAsia="fr-FR"/>
        </w:rPr>
      </w:pPr>
      <w:r>
        <w:rPr>
          <w:sz w:val="20"/>
          <w:lang w:val="ro-RO" w:eastAsia="fr-FR"/>
        </w:rPr>
        <w:t>„</w:t>
      </w:r>
      <w:r w:rsidRPr="00054DEE">
        <w:rPr>
          <w:sz w:val="20"/>
          <w:lang w:val="ro-RO" w:eastAsia="fr-FR"/>
        </w:rPr>
        <w:t>(...)</w:t>
      </w:r>
      <w:r>
        <w:rPr>
          <w:sz w:val="20"/>
          <w:lang w:val="ro-RO" w:eastAsia="fr-FR"/>
        </w:rPr>
        <w:t xml:space="preserve"> în acest caz, este vorba despre o decizie care va trebui </w:t>
      </w:r>
      <w:r w:rsidRPr="00054DEE">
        <w:rPr>
          <w:sz w:val="20"/>
          <w:lang w:val="ro-RO" w:eastAsia="fr-FR"/>
        </w:rPr>
        <w:t>(...)</w:t>
      </w:r>
      <w:r>
        <w:rPr>
          <w:sz w:val="20"/>
          <w:lang w:val="ro-RO" w:eastAsia="fr-FR"/>
        </w:rPr>
        <w:t xml:space="preserve"> considerată ca fiind echivalentă cu o decizie pronunţată în cadrul unui apel </w:t>
      </w:r>
      <w:r w:rsidRPr="00054DEE">
        <w:rPr>
          <w:sz w:val="20"/>
          <w:lang w:val="ro-RO" w:eastAsia="fr-FR"/>
        </w:rPr>
        <w:t>.</w:t>
      </w:r>
    </w:p>
    <w:p w:rsidR="00886CFB" w:rsidRPr="00054DEE" w:rsidRDefault="00886CFB" w:rsidP="00906B0E">
      <w:pPr>
        <w:spacing w:before="120" w:after="120"/>
        <w:ind w:left="425" w:firstLine="142"/>
        <w:rPr>
          <w:sz w:val="20"/>
          <w:lang w:val="ro-RO" w:eastAsia="fr-FR"/>
        </w:rPr>
      </w:pPr>
      <w:r>
        <w:rPr>
          <w:sz w:val="20"/>
          <w:lang w:val="ro-RO" w:eastAsia="fr-FR"/>
        </w:rPr>
        <w:t xml:space="preserve">De fapt, </w:t>
      </w:r>
      <w:r w:rsidRPr="00054DEE">
        <w:rPr>
          <w:sz w:val="20"/>
          <w:lang w:val="ro-RO" w:eastAsia="fr-FR"/>
        </w:rPr>
        <w:t>(...)</w:t>
      </w:r>
      <w:r>
        <w:rPr>
          <w:sz w:val="20"/>
          <w:lang w:val="ro-RO" w:eastAsia="fr-FR"/>
        </w:rPr>
        <w:t xml:space="preserve"> în urma incidentului ridicat de ministerul </w:t>
      </w:r>
      <w:r w:rsidRPr="00054DEE">
        <w:rPr>
          <w:sz w:val="20"/>
          <w:lang w:val="ro-RO" w:eastAsia="fr-FR"/>
        </w:rPr>
        <w:t>public</w:t>
      </w:r>
      <w:r>
        <w:rPr>
          <w:sz w:val="20"/>
          <w:lang w:val="ro-RO" w:eastAsia="fr-FR"/>
        </w:rPr>
        <w:t xml:space="preserve"> din cauza refuzului acuzatei </w:t>
      </w:r>
      <w:r w:rsidRPr="00054DEE">
        <w:rPr>
          <w:i/>
          <w:sz w:val="20"/>
          <w:lang w:val="ro-RO" w:eastAsia="fr-FR"/>
        </w:rPr>
        <w:t>(arguida)</w:t>
      </w:r>
      <w:r>
        <w:rPr>
          <w:i/>
          <w:sz w:val="20"/>
          <w:lang w:val="ro-RO" w:eastAsia="fr-FR"/>
        </w:rPr>
        <w:t xml:space="preserve"> </w:t>
      </w:r>
      <w:r w:rsidRPr="00054DEE">
        <w:rPr>
          <w:sz w:val="20"/>
          <w:lang w:val="ro-RO" w:eastAsia="fr-FR"/>
        </w:rPr>
        <w:t>d</w:t>
      </w:r>
      <w:r>
        <w:rPr>
          <w:sz w:val="20"/>
          <w:lang w:val="ro-RO" w:eastAsia="fr-FR"/>
        </w:rPr>
        <w:t xml:space="preserve">e a autoriza instituţiile bancare la care aceasta deţine conturile </w:t>
      </w:r>
      <w:r w:rsidRPr="00054DEE">
        <w:rPr>
          <w:sz w:val="20"/>
          <w:lang w:val="ro-RO" w:eastAsia="fr-FR"/>
        </w:rPr>
        <w:t>(person</w:t>
      </w:r>
      <w:r>
        <w:rPr>
          <w:sz w:val="20"/>
          <w:lang w:val="ro-RO" w:eastAsia="fr-FR"/>
        </w:rPr>
        <w:t>ale</w:t>
      </w:r>
      <w:r w:rsidRPr="00054DEE">
        <w:rPr>
          <w:sz w:val="20"/>
          <w:lang w:val="ro-RO" w:eastAsia="fr-FR"/>
        </w:rPr>
        <w:t>)</w:t>
      </w:r>
      <w:r>
        <w:rPr>
          <w:sz w:val="20"/>
          <w:lang w:val="ro-RO" w:eastAsia="fr-FR"/>
        </w:rPr>
        <w:t xml:space="preserve"> curente să furnizeze informaţiile legate de acest subiect</w:t>
      </w:r>
      <w:r w:rsidRPr="00054DEE">
        <w:rPr>
          <w:sz w:val="20"/>
          <w:lang w:val="ro-RO" w:eastAsia="fr-FR"/>
        </w:rPr>
        <w:t>,</w:t>
      </w:r>
      <w:r>
        <w:rPr>
          <w:sz w:val="20"/>
          <w:lang w:val="ro-RO" w:eastAsia="fr-FR"/>
        </w:rPr>
        <w:t xml:space="preserve"> judecătorul de primă instanţă a adoptat o poziţie expresă în ceea ce priveşte legitimitatea refuzului reclamantei, având în vedere că ridicarea secretului profesional şi a celui bancar se impunea</w:t>
      </w:r>
      <w:r w:rsidRPr="00054DEE">
        <w:rPr>
          <w:sz w:val="20"/>
          <w:lang w:val="ro-RO" w:eastAsia="fr-FR"/>
        </w:rPr>
        <w:t>,</w:t>
      </w:r>
      <w:r>
        <w:rPr>
          <w:sz w:val="20"/>
          <w:lang w:val="ro-RO" w:eastAsia="fr-FR"/>
        </w:rPr>
        <w:t xml:space="preserve"> poziţie pe care curtea de apel a venit să o confirme de asemenea</w:t>
      </w:r>
      <w:r w:rsidRPr="00054DEE">
        <w:rPr>
          <w:sz w:val="20"/>
          <w:lang w:val="ro-RO" w:eastAsia="fr-FR"/>
        </w:rPr>
        <w:t>.</w:t>
      </w:r>
    </w:p>
    <w:p w:rsidR="00886CFB" w:rsidRPr="00054DEE" w:rsidRDefault="00886CFB" w:rsidP="00906B0E">
      <w:pPr>
        <w:spacing w:before="120" w:after="120"/>
        <w:ind w:left="425" w:firstLine="142"/>
        <w:rPr>
          <w:sz w:val="20"/>
          <w:lang w:val="ro-RO" w:eastAsia="fr-FR"/>
        </w:rPr>
      </w:pPr>
      <w:r>
        <w:rPr>
          <w:sz w:val="20"/>
          <w:lang w:val="ro-RO" w:eastAsia="fr-FR"/>
        </w:rPr>
        <w:t>În consecinţă</w:t>
      </w:r>
      <w:r w:rsidRPr="00054DEE">
        <w:rPr>
          <w:sz w:val="20"/>
          <w:lang w:val="ro-RO" w:eastAsia="fr-FR"/>
        </w:rPr>
        <w:t>,</w:t>
      </w:r>
      <w:r>
        <w:rPr>
          <w:sz w:val="20"/>
          <w:lang w:val="ro-RO" w:eastAsia="fr-FR"/>
        </w:rPr>
        <w:t xml:space="preserve"> decizia atacată nu putea face obiectul unui recurs</w:t>
      </w:r>
      <w:r w:rsidRPr="00054DEE">
        <w:rPr>
          <w:sz w:val="20"/>
          <w:lang w:val="ro-RO" w:eastAsia="fr-FR"/>
        </w:rPr>
        <w:t>.</w:t>
      </w:r>
    </w:p>
    <w:p w:rsidR="00886CFB" w:rsidRPr="00054DEE" w:rsidRDefault="00886CFB" w:rsidP="00906B0E">
      <w:pPr>
        <w:spacing w:before="120" w:after="120"/>
        <w:ind w:left="425" w:firstLine="142"/>
        <w:rPr>
          <w:sz w:val="20"/>
          <w:lang w:val="ro-RO" w:eastAsia="fr-FR"/>
        </w:rPr>
      </w:pPr>
      <w:r>
        <w:rPr>
          <w:sz w:val="20"/>
          <w:lang w:val="ro-RO" w:eastAsia="fr-FR"/>
        </w:rPr>
        <w:t>(...).”</w:t>
      </w:r>
    </w:p>
    <w:p w:rsidR="00886CFB" w:rsidRPr="00054DEE" w:rsidRDefault="00886CFB" w:rsidP="00906B0E">
      <w:pPr>
        <w:pStyle w:val="JuParaSub"/>
        <w:ind w:left="0"/>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17</w:t>
      </w:r>
      <w:r w:rsidRPr="00054DEE">
        <w:rPr>
          <w:lang w:val="ro-RO" w:eastAsia="fr-FR"/>
        </w:rPr>
        <w:fldChar w:fldCharType="end"/>
      </w:r>
      <w:r w:rsidRPr="00054DEE">
        <w:rPr>
          <w:lang w:val="ro-RO" w:eastAsia="fr-FR"/>
        </w:rPr>
        <w:t>.</w:t>
      </w:r>
      <w:r>
        <w:rPr>
          <w:lang w:val="ro-RO" w:eastAsia="fr-FR"/>
        </w:rPr>
        <w:t xml:space="preserve"> Printr-un ordin din data de 29 iulie </w:t>
      </w:r>
      <w:r w:rsidRPr="00054DEE">
        <w:rPr>
          <w:lang w:val="ro-RO" w:eastAsia="fr-FR"/>
        </w:rPr>
        <w:t>2011,</w:t>
      </w:r>
      <w:r>
        <w:rPr>
          <w:lang w:val="ro-RO" w:eastAsia="fr-FR"/>
        </w:rPr>
        <w:t xml:space="preserve"> Parchetul de pe lângă Tribunalul din </w:t>
      </w:r>
      <w:r w:rsidRPr="00054DEE">
        <w:rPr>
          <w:lang w:val="ro-RO" w:eastAsia="fr-FR"/>
        </w:rPr>
        <w:t>Faro</w:t>
      </w:r>
      <w:r>
        <w:rPr>
          <w:lang w:val="ro-RO" w:eastAsia="fr-FR"/>
        </w:rPr>
        <w:t xml:space="preserve"> a clasat procedura penală deschisă împotriva reclamantei pentru fraudă fiscală fără drept se apel</w:t>
      </w:r>
      <w:r w:rsidRPr="00054DEE">
        <w:rPr>
          <w:lang w:val="ro-RO" w:eastAsia="fr-FR"/>
        </w:rPr>
        <w:t>.</w:t>
      </w:r>
      <w:r>
        <w:rPr>
          <w:lang w:val="ro-RO" w:eastAsia="fr-FR"/>
        </w:rPr>
        <w:t xml:space="preserve"> Reclamanta evidenţiază totuşi că a fost supusă unei ajustări fiscale</w:t>
      </w:r>
      <w:r w:rsidRPr="00054DEE">
        <w:rPr>
          <w:lang w:val="ro-RO" w:eastAsia="fr-FR"/>
        </w:rPr>
        <w:t>.</w:t>
      </w:r>
    </w:p>
    <w:p w:rsidR="00886CFB" w:rsidRPr="00054DEE" w:rsidRDefault="00886CFB" w:rsidP="00906B0E">
      <w:pPr>
        <w:pStyle w:val="ECHRHeading1"/>
        <w:rPr>
          <w:lang w:val="ro-RO"/>
        </w:rPr>
      </w:pPr>
      <w:r w:rsidRPr="00054DEE">
        <w:rPr>
          <w:lang w:val="ro-RO"/>
        </w:rPr>
        <w:lastRenderedPageBreak/>
        <w:t>II.</w:t>
      </w:r>
      <w:r>
        <w:rPr>
          <w:lang w:val="ro-RO"/>
        </w:rPr>
        <w:t xml:space="preserve"> DREPTUL ŞI PRACTICA INTERNE APLICABILE </w:t>
      </w:r>
    </w:p>
    <w:p w:rsidR="00886CFB" w:rsidRPr="00054DEE" w:rsidRDefault="00886CFB" w:rsidP="00906B0E">
      <w:pPr>
        <w:pStyle w:val="ECHRHeading2"/>
        <w:rPr>
          <w:lang w:val="ro-RO" w:eastAsia="fr-FR"/>
        </w:rPr>
      </w:pPr>
      <w:r w:rsidRPr="00054DEE">
        <w:rPr>
          <w:lang w:val="ro-RO" w:eastAsia="fr-FR"/>
        </w:rPr>
        <w:t>A.</w:t>
      </w:r>
      <w:r>
        <w:rPr>
          <w:lang w:val="ro-RO" w:eastAsia="fr-FR"/>
        </w:rPr>
        <w:t xml:space="preserve"> Codul de procedură penală</w:t>
      </w:r>
    </w:p>
    <w:p w:rsidR="00886CFB" w:rsidRPr="00054DEE" w:rsidRDefault="00886CFB" w:rsidP="00906B0E">
      <w:pPr>
        <w:ind w:firstLine="284"/>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18</w:t>
      </w:r>
      <w:r w:rsidRPr="00054DEE">
        <w:rPr>
          <w:lang w:val="ro-RO" w:eastAsia="fr-FR"/>
        </w:rPr>
        <w:fldChar w:fldCharType="end"/>
      </w:r>
      <w:r w:rsidRPr="00054DEE">
        <w:rPr>
          <w:lang w:val="ro-RO" w:eastAsia="fr-FR"/>
        </w:rPr>
        <w:t>.</w:t>
      </w:r>
      <w:r>
        <w:rPr>
          <w:lang w:val="ro-RO" w:eastAsia="fr-FR"/>
        </w:rPr>
        <w:t xml:space="preserve"> La momentul producerii faptelor</w:t>
      </w:r>
      <w:r w:rsidRPr="00054DEE">
        <w:rPr>
          <w:lang w:val="ro-RO" w:eastAsia="fr-FR"/>
        </w:rPr>
        <w:t>,</w:t>
      </w:r>
      <w:r>
        <w:rPr>
          <w:lang w:val="ro-RO" w:eastAsia="fr-FR"/>
        </w:rPr>
        <w:t xml:space="preserve"> dispoziţiile pertinente ale codului de procedură penală aveau următorul conţinut</w:t>
      </w:r>
      <w:r w:rsidRPr="00054DEE">
        <w:rPr>
          <w:lang w:val="ro-RO" w:eastAsia="fr-FR"/>
        </w:rPr>
        <w:t>:</w:t>
      </w:r>
    </w:p>
    <w:p w:rsidR="00886CFB" w:rsidRPr="00054DEE" w:rsidRDefault="00886CFB" w:rsidP="00906B0E">
      <w:pPr>
        <w:pStyle w:val="ECHRTitleCentre3"/>
        <w:rPr>
          <w:lang w:val="ro-RO" w:eastAsia="fr-FR"/>
        </w:rPr>
      </w:pPr>
      <w:r>
        <w:rPr>
          <w:lang w:val="ro-RO" w:eastAsia="fr-FR"/>
        </w:rPr>
        <w:t xml:space="preserve">Articolul </w:t>
      </w:r>
      <w:r w:rsidRPr="00054DEE">
        <w:rPr>
          <w:lang w:val="ro-RO" w:eastAsia="fr-FR"/>
        </w:rPr>
        <w:t>135</w:t>
      </w:r>
      <w:r w:rsidRPr="00054DEE">
        <w:rPr>
          <w:lang w:val="ro-RO" w:eastAsia="fr-FR"/>
        </w:rPr>
        <w:br/>
        <w:t>Secret</w:t>
      </w:r>
      <w:r>
        <w:rPr>
          <w:lang w:val="ro-RO" w:eastAsia="fr-FR"/>
        </w:rPr>
        <w:t xml:space="preserve">ul </w:t>
      </w:r>
      <w:r w:rsidRPr="00054DEE">
        <w:rPr>
          <w:lang w:val="ro-RO" w:eastAsia="fr-FR"/>
        </w:rPr>
        <w:t>profes</w:t>
      </w:r>
      <w:r>
        <w:rPr>
          <w:lang w:val="ro-RO" w:eastAsia="fr-FR"/>
        </w:rPr>
        <w:t>ional</w:t>
      </w:r>
    </w:p>
    <w:p w:rsidR="00886CFB" w:rsidRPr="00054DEE" w:rsidRDefault="00886CFB" w:rsidP="00906B0E">
      <w:pPr>
        <w:pStyle w:val="ECHRParaQuote"/>
        <w:rPr>
          <w:lang w:val="ro-RO" w:eastAsia="fr-FR"/>
        </w:rPr>
      </w:pPr>
      <w:r>
        <w:rPr>
          <w:lang w:val="ro-RO" w:eastAsia="fr-FR"/>
        </w:rPr>
        <w:t>„</w:t>
      </w:r>
      <w:r w:rsidRPr="00054DEE">
        <w:rPr>
          <w:lang w:val="ro-RO" w:eastAsia="fr-FR"/>
        </w:rPr>
        <w:t>1.</w:t>
      </w:r>
      <w:r>
        <w:rPr>
          <w:lang w:val="ro-RO" w:eastAsia="fr-FR"/>
        </w:rPr>
        <w:t xml:space="preserve"> Preoţii sau cultele religioase</w:t>
      </w:r>
      <w:r w:rsidRPr="00054DEE">
        <w:rPr>
          <w:lang w:val="ro-RO" w:eastAsia="fr-FR"/>
        </w:rPr>
        <w:t>,</w:t>
      </w:r>
      <w:r>
        <w:rPr>
          <w:lang w:val="ro-RO" w:eastAsia="fr-FR"/>
        </w:rPr>
        <w:t xml:space="preserve"> avocaţii</w:t>
      </w:r>
      <w:r w:rsidRPr="00054DEE">
        <w:rPr>
          <w:lang w:val="ro-RO" w:eastAsia="fr-FR"/>
        </w:rPr>
        <w:t>,</w:t>
      </w:r>
      <w:r>
        <w:rPr>
          <w:lang w:val="ro-RO" w:eastAsia="fr-FR"/>
        </w:rPr>
        <w:t xml:space="preserve"> </w:t>
      </w:r>
      <w:r w:rsidRPr="00054DEE">
        <w:rPr>
          <w:lang w:val="ro-RO" w:eastAsia="fr-FR"/>
        </w:rPr>
        <w:t>m</w:t>
      </w:r>
      <w:r>
        <w:rPr>
          <w:lang w:val="ro-RO" w:eastAsia="fr-FR"/>
        </w:rPr>
        <w:t>edicii</w:t>
      </w:r>
      <w:r w:rsidRPr="00054DEE">
        <w:rPr>
          <w:lang w:val="ro-RO" w:eastAsia="fr-FR"/>
        </w:rPr>
        <w:t>,</w:t>
      </w:r>
      <w:r>
        <w:rPr>
          <w:lang w:val="ro-RO" w:eastAsia="fr-FR"/>
        </w:rPr>
        <w:t xml:space="preserve"> ziariştii şi membrii instituţiilor de credit şi orice altă persoană care poate sau care trebuie să păstreze secretul profesional </w:t>
      </w:r>
      <w:r w:rsidRPr="00054DEE">
        <w:rPr>
          <w:lang w:val="ro-RO" w:eastAsia="fr-FR"/>
        </w:rPr>
        <w:t>conform</w:t>
      </w:r>
      <w:r>
        <w:rPr>
          <w:lang w:val="ro-RO" w:eastAsia="fr-FR"/>
        </w:rPr>
        <w:t xml:space="preserve"> legii pot refuza să depună mărturie privind faptele la care se referă acesta</w:t>
      </w: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2.</w:t>
      </w:r>
      <w:r>
        <w:rPr>
          <w:lang w:val="ro-RO" w:eastAsia="fr-FR"/>
        </w:rPr>
        <w:t xml:space="preserve"> Când există îndoieli bazate pe legitimitatea scuzei </w:t>
      </w:r>
      <w:r w:rsidRPr="00054DEE">
        <w:rPr>
          <w:lang w:val="ro-RO" w:eastAsia="fr-FR"/>
        </w:rPr>
        <w:t>(</w:t>
      </w:r>
      <w:r w:rsidRPr="00054DEE">
        <w:rPr>
          <w:i/>
          <w:lang w:val="ro-RO" w:eastAsia="fr-FR"/>
        </w:rPr>
        <w:t>escusa</w:t>
      </w:r>
      <w:r w:rsidRPr="00054DEE">
        <w:rPr>
          <w:lang w:val="ro-RO" w:eastAsia="fr-FR"/>
        </w:rPr>
        <w:t>),</w:t>
      </w:r>
      <w:r>
        <w:rPr>
          <w:lang w:val="ro-RO" w:eastAsia="fr-FR"/>
        </w:rPr>
        <w:t xml:space="preserve"> autoritatea judiciară în faţa căreia a survenit incidentul procedează la verificările necesare</w:t>
      </w:r>
      <w:r w:rsidRPr="00054DEE">
        <w:rPr>
          <w:lang w:val="ro-RO" w:eastAsia="fr-FR"/>
        </w:rPr>
        <w:t>.</w:t>
      </w:r>
      <w:r>
        <w:rPr>
          <w:lang w:val="ro-RO" w:eastAsia="fr-FR"/>
        </w:rPr>
        <w:t xml:space="preserve"> Dacă</w:t>
      </w:r>
      <w:r w:rsidRPr="00054DEE">
        <w:rPr>
          <w:lang w:val="ro-RO" w:eastAsia="fr-FR"/>
        </w:rPr>
        <w:t>,</w:t>
      </w:r>
      <w:r>
        <w:rPr>
          <w:lang w:val="ro-RO" w:eastAsia="fr-FR"/>
        </w:rPr>
        <w:t xml:space="preserve"> după acestea, ea concluzionează că scuza nu este legitimă</w:t>
      </w:r>
      <w:r w:rsidRPr="00054DEE">
        <w:rPr>
          <w:lang w:val="ro-RO" w:eastAsia="fr-FR"/>
        </w:rPr>
        <w:t>,</w:t>
      </w:r>
      <w:r>
        <w:rPr>
          <w:lang w:val="ro-RO" w:eastAsia="fr-FR"/>
        </w:rPr>
        <w:t xml:space="preserve"> ea dispune sau solicită tribunalului să dispună depoziţia</w:t>
      </w: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3.</w:t>
      </w:r>
      <w:r>
        <w:rPr>
          <w:lang w:val="ro-RO" w:eastAsia="fr-FR"/>
        </w:rPr>
        <w:t xml:space="preserve"> Tribunalul superior celui la care a survenit incidentul </w:t>
      </w:r>
      <w:r w:rsidRPr="00054DEE">
        <w:rPr>
          <w:lang w:val="ro-RO" w:eastAsia="fr-FR"/>
        </w:rPr>
        <w:t>(...)</w:t>
      </w:r>
      <w:r>
        <w:rPr>
          <w:lang w:val="ro-RO" w:eastAsia="fr-FR"/>
        </w:rPr>
        <w:t xml:space="preserve"> poate decide depoziţia cu încălcarea secretului profesional dacă acest lucru este necesar</w:t>
      </w:r>
      <w:r w:rsidRPr="00054DEE">
        <w:rPr>
          <w:lang w:val="ro-RO" w:eastAsia="fr-FR"/>
        </w:rPr>
        <w:t>,</w:t>
      </w:r>
      <w:r>
        <w:rPr>
          <w:lang w:val="ro-RO" w:eastAsia="fr-FR"/>
        </w:rPr>
        <w:t xml:space="preserve"> conform principiului interesului preponderent</w:t>
      </w:r>
      <w:r w:rsidRPr="00054DEE">
        <w:rPr>
          <w:lang w:val="ro-RO" w:eastAsia="fr-FR"/>
        </w:rPr>
        <w:t>,</w:t>
      </w:r>
      <w:r>
        <w:rPr>
          <w:lang w:val="ro-RO" w:eastAsia="fr-FR"/>
        </w:rPr>
        <w:t xml:space="preserve"> mai precis dacă depoziţia este indispensabilă pentru descoperirea adevărului</w:t>
      </w:r>
      <w:r w:rsidRPr="00054DEE">
        <w:rPr>
          <w:lang w:val="ro-RO" w:eastAsia="fr-FR"/>
        </w:rPr>
        <w:t>,</w:t>
      </w:r>
      <w:r>
        <w:rPr>
          <w:lang w:val="ro-RO" w:eastAsia="fr-FR"/>
        </w:rPr>
        <w:t xml:space="preserve"> gravitatea delictului </w:t>
      </w:r>
      <w:r w:rsidRPr="00054DEE">
        <w:rPr>
          <w:lang w:val="ro-RO" w:eastAsia="fr-FR"/>
        </w:rPr>
        <w:t>(...).</w:t>
      </w:r>
      <w:r>
        <w:rPr>
          <w:lang w:val="ro-RO" w:eastAsia="fr-FR"/>
        </w:rPr>
        <w:t xml:space="preserve"> Intervenţia </w:t>
      </w:r>
      <w:r w:rsidRPr="00054DEE">
        <w:rPr>
          <w:lang w:val="ro-RO" w:eastAsia="fr-FR"/>
        </w:rPr>
        <w:t>[</w:t>
      </w:r>
      <w:r>
        <w:rPr>
          <w:lang w:val="ro-RO" w:eastAsia="fr-FR"/>
        </w:rPr>
        <w:t>tribunalului superior</w:t>
      </w:r>
      <w:r w:rsidRPr="00054DEE">
        <w:rPr>
          <w:lang w:val="ro-RO" w:eastAsia="fr-FR"/>
        </w:rPr>
        <w:t>]</w:t>
      </w:r>
      <w:r>
        <w:rPr>
          <w:lang w:val="ro-RO" w:eastAsia="fr-FR"/>
        </w:rPr>
        <w:t xml:space="preserve"> este impusă de judecător</w:t>
      </w:r>
      <w:r w:rsidRPr="00054DEE">
        <w:rPr>
          <w:lang w:val="ro-RO" w:eastAsia="fr-FR"/>
        </w:rPr>
        <w:t>,</w:t>
      </w:r>
      <w:r>
        <w:rPr>
          <w:lang w:val="ro-RO" w:eastAsia="fr-FR"/>
        </w:rPr>
        <w:t xml:space="preserve"> din oficiu sau la cerere</w:t>
      </w: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4.</w:t>
      </w:r>
      <w:r>
        <w:rPr>
          <w:lang w:val="ro-RO" w:eastAsia="fr-FR"/>
        </w:rPr>
        <w:t xml:space="preserve"> În cazurile prevăzute la alineatele 2 şi </w:t>
      </w:r>
      <w:r w:rsidRPr="00054DEE">
        <w:rPr>
          <w:lang w:val="ro-RO" w:eastAsia="fr-FR"/>
        </w:rPr>
        <w:t>3,</w:t>
      </w:r>
      <w:r>
        <w:rPr>
          <w:lang w:val="ro-RO" w:eastAsia="fr-FR"/>
        </w:rPr>
        <w:t xml:space="preserve"> decizia autorităţii judiciare sau a tribunalului este luată după ce organismul reprezentativ al profesiunii de care este legat secretul profesional respectiv a fost audiată</w:t>
      </w:r>
      <w:r w:rsidRPr="00054DEE">
        <w:rPr>
          <w:lang w:val="ro-RO" w:eastAsia="fr-FR"/>
        </w:rPr>
        <w:t>,</w:t>
      </w:r>
      <w:r>
        <w:rPr>
          <w:lang w:val="ro-RO" w:eastAsia="fr-FR"/>
        </w:rPr>
        <w:t xml:space="preserve"> în termenii şi cu scopurile prevăzute în legislaţia aplicabilă a acestui organism.</w:t>
      </w:r>
    </w:p>
    <w:p w:rsidR="00886CFB" w:rsidRPr="00054DEE" w:rsidRDefault="00886CFB" w:rsidP="00906B0E">
      <w:pPr>
        <w:pStyle w:val="ECHRParaQuote"/>
        <w:rPr>
          <w:lang w:val="ro-RO" w:eastAsia="fr-FR"/>
        </w:rPr>
      </w:pPr>
      <w:r w:rsidRPr="00054DEE">
        <w:rPr>
          <w:lang w:val="ro-RO" w:eastAsia="fr-FR"/>
        </w:rPr>
        <w:t>5.</w:t>
      </w:r>
      <w:r>
        <w:rPr>
          <w:lang w:val="ro-RO" w:eastAsia="fr-FR"/>
        </w:rPr>
        <w:t xml:space="preserve"> Prevederile din alineatele </w:t>
      </w:r>
      <w:r w:rsidRPr="00054DEE">
        <w:rPr>
          <w:lang w:val="ro-RO" w:eastAsia="fr-FR"/>
        </w:rPr>
        <w:t>3</w:t>
      </w:r>
      <w:r>
        <w:rPr>
          <w:lang w:val="ro-RO" w:eastAsia="fr-FR"/>
        </w:rPr>
        <w:t xml:space="preserve"> şi </w:t>
      </w:r>
      <w:r w:rsidRPr="00054DEE">
        <w:rPr>
          <w:lang w:val="ro-RO" w:eastAsia="fr-FR"/>
        </w:rPr>
        <w:t>4</w:t>
      </w:r>
      <w:r>
        <w:rPr>
          <w:lang w:val="ro-RO" w:eastAsia="fr-FR"/>
        </w:rPr>
        <w:t xml:space="preserve"> nu se aplică secretului religios</w:t>
      </w:r>
      <w:r w:rsidRPr="00054DEE">
        <w:rPr>
          <w:lang w:val="ro-RO" w:eastAsia="fr-FR"/>
        </w:rPr>
        <w:t>.</w:t>
      </w:r>
      <w:r>
        <w:rPr>
          <w:lang w:val="ro-RO" w:eastAsia="fr-FR"/>
        </w:rPr>
        <w:t>”</w:t>
      </w:r>
    </w:p>
    <w:p w:rsidR="00886CFB" w:rsidRPr="00054DEE" w:rsidRDefault="00886CFB" w:rsidP="00906B0E">
      <w:pPr>
        <w:pStyle w:val="ECHRTitleCentre3"/>
        <w:rPr>
          <w:lang w:val="ro-RO" w:eastAsia="fr-FR"/>
        </w:rPr>
      </w:pPr>
      <w:r w:rsidRPr="00054DEE">
        <w:rPr>
          <w:lang w:val="ro-RO" w:eastAsia="fr-FR"/>
        </w:rPr>
        <w:t>Artic</w:t>
      </w:r>
      <w:r>
        <w:rPr>
          <w:lang w:val="ro-RO" w:eastAsia="fr-FR"/>
        </w:rPr>
        <w:t xml:space="preserve">olul </w:t>
      </w:r>
      <w:r w:rsidRPr="00054DEE">
        <w:rPr>
          <w:lang w:val="ro-RO" w:eastAsia="fr-FR"/>
        </w:rPr>
        <w:t>400</w:t>
      </w:r>
      <w:r w:rsidRPr="00054DEE">
        <w:rPr>
          <w:lang w:val="ro-RO" w:eastAsia="fr-FR"/>
        </w:rPr>
        <w:br/>
      </w:r>
      <w:r>
        <w:rPr>
          <w:lang w:val="ro-RO" w:eastAsia="fr-FR"/>
        </w:rPr>
        <w:t>Decizii care nu pot face obiectul unui recurs</w:t>
      </w:r>
    </w:p>
    <w:p w:rsidR="00886CFB" w:rsidRPr="00054DEE" w:rsidRDefault="00886CFB" w:rsidP="00906B0E">
      <w:pPr>
        <w:pStyle w:val="ECHRParaQuote"/>
        <w:rPr>
          <w:lang w:val="ro-RO" w:eastAsia="fr-FR"/>
        </w:rPr>
      </w:pPr>
      <w:r>
        <w:rPr>
          <w:lang w:val="ro-RO" w:eastAsia="fr-FR"/>
        </w:rPr>
        <w:t>„</w:t>
      </w:r>
      <w:r w:rsidRPr="00054DEE">
        <w:rPr>
          <w:lang w:val="ro-RO" w:eastAsia="fr-FR"/>
        </w:rPr>
        <w:t>1.</w:t>
      </w:r>
      <w:r>
        <w:rPr>
          <w:lang w:val="ro-RO" w:eastAsia="fr-FR"/>
        </w:rPr>
        <w:t xml:space="preserve"> Nu se poate face apel la</w:t>
      </w: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b)</w:t>
      </w:r>
      <w:r>
        <w:rPr>
          <w:lang w:val="ro-RO" w:eastAsia="fr-FR"/>
        </w:rPr>
        <w:t xml:space="preserve"> Deciziile pronunţate în apel de curţile de apel care nu se pronunţă, în </w:t>
      </w:r>
      <w:r w:rsidRPr="00054DEE">
        <w:rPr>
          <w:lang w:val="ro-RO" w:eastAsia="fr-FR"/>
        </w:rPr>
        <w:t>final,</w:t>
      </w:r>
      <w:r>
        <w:rPr>
          <w:lang w:val="ro-RO" w:eastAsia="fr-FR"/>
        </w:rPr>
        <w:t xml:space="preserve"> pe fondul cauzei</w:t>
      </w: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w:t>
      </w:r>
      <w:r>
        <w:rPr>
          <w:lang w:val="ro-RO" w:eastAsia="fr-FR"/>
        </w:rPr>
        <w:t>”</w:t>
      </w:r>
    </w:p>
    <w:p w:rsidR="00886CFB" w:rsidRPr="00054DEE" w:rsidRDefault="00886CFB" w:rsidP="00906B0E">
      <w:pPr>
        <w:pStyle w:val="ECHRTitleCentre3"/>
        <w:rPr>
          <w:lang w:val="ro-RO" w:eastAsia="fr-FR"/>
        </w:rPr>
      </w:pPr>
      <w:r w:rsidRPr="00054DEE">
        <w:rPr>
          <w:lang w:val="ro-RO" w:eastAsia="fr-FR"/>
        </w:rPr>
        <w:t>Artic</w:t>
      </w:r>
      <w:r>
        <w:rPr>
          <w:lang w:val="ro-RO" w:eastAsia="fr-FR"/>
        </w:rPr>
        <w:t xml:space="preserve">olul </w:t>
      </w:r>
      <w:r w:rsidRPr="00054DEE">
        <w:rPr>
          <w:lang w:val="ro-RO" w:eastAsia="fr-FR"/>
        </w:rPr>
        <w:t>432</w:t>
      </w:r>
      <w:r w:rsidRPr="00054DEE">
        <w:rPr>
          <w:lang w:val="ro-RO" w:eastAsia="fr-FR"/>
        </w:rPr>
        <w:br/>
      </w:r>
      <w:r>
        <w:rPr>
          <w:lang w:val="ro-RO" w:eastAsia="fr-FR"/>
        </w:rPr>
        <w:t>Recursul în faţa Curţii Supreme</w:t>
      </w:r>
    </w:p>
    <w:p w:rsidR="00886CFB" w:rsidRPr="00054DEE" w:rsidRDefault="00886CFB" w:rsidP="00906B0E">
      <w:pPr>
        <w:pStyle w:val="ECHRParaQuote"/>
        <w:rPr>
          <w:lang w:val="ro-RO" w:eastAsia="fr-FR"/>
        </w:rPr>
      </w:pPr>
      <w:r>
        <w:rPr>
          <w:lang w:val="ro-RO" w:eastAsia="fr-FR"/>
        </w:rPr>
        <w:t>„</w:t>
      </w:r>
      <w:r w:rsidRPr="00054DEE">
        <w:rPr>
          <w:lang w:val="ro-RO" w:eastAsia="fr-FR"/>
        </w:rPr>
        <w:t>1.</w:t>
      </w:r>
      <w:r>
        <w:rPr>
          <w:lang w:val="ro-RO" w:eastAsia="fr-FR"/>
        </w:rPr>
        <w:t xml:space="preserve"> Se poate face apel în faţa Curţii Supreme la</w:t>
      </w: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a)</w:t>
      </w:r>
      <w:r>
        <w:rPr>
          <w:lang w:val="ro-RO" w:eastAsia="fr-FR"/>
        </w:rPr>
        <w:t xml:space="preserve"> Deciziile curţilor de apel pronunţate în primă instanţă</w:t>
      </w: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b)</w:t>
      </w:r>
      <w:r>
        <w:rPr>
          <w:lang w:val="ro-RO" w:eastAsia="fr-FR"/>
        </w:rPr>
        <w:t xml:space="preserve"> Deciziile atacabile </w:t>
      </w:r>
      <w:r w:rsidRPr="00054DEE">
        <w:rPr>
          <w:lang w:val="ro-RO" w:eastAsia="fr-FR"/>
        </w:rPr>
        <w:t>(</w:t>
      </w:r>
      <w:r w:rsidRPr="00054DEE">
        <w:rPr>
          <w:i/>
          <w:lang w:val="ro-RO" w:eastAsia="fr-FR"/>
        </w:rPr>
        <w:t>recorríveis)</w:t>
      </w:r>
      <w:r>
        <w:rPr>
          <w:lang w:val="ro-RO" w:eastAsia="fr-FR"/>
        </w:rPr>
        <w:t xml:space="preserve"> care au fost pronunţate de curţile de apel, în cadrul unui recurs</w:t>
      </w:r>
      <w:r w:rsidRPr="00054DEE">
        <w:rPr>
          <w:lang w:val="ro-RO" w:eastAsia="fr-FR"/>
        </w:rPr>
        <w:t>,</w:t>
      </w:r>
      <w:r>
        <w:rPr>
          <w:lang w:val="ro-RO" w:eastAsia="fr-FR"/>
        </w:rPr>
        <w:t xml:space="preserve"> în termenii articolului </w:t>
      </w:r>
      <w:r w:rsidRPr="00054DEE">
        <w:rPr>
          <w:lang w:val="ro-RO" w:eastAsia="fr-FR"/>
        </w:rPr>
        <w:t>400</w:t>
      </w:r>
      <w:r>
        <w:rPr>
          <w:lang w:val="ro-RO" w:eastAsia="fr-FR"/>
        </w:rPr>
        <w:t xml:space="preserve"> </w:t>
      </w: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w:t>
      </w:r>
      <w:r>
        <w:rPr>
          <w:lang w:val="ro-RO" w:eastAsia="fr-FR"/>
        </w:rPr>
        <w:t>”</w:t>
      </w:r>
    </w:p>
    <w:p w:rsidR="00886CFB" w:rsidRPr="00054DEE" w:rsidRDefault="00886CFB" w:rsidP="00906B0E">
      <w:pPr>
        <w:pStyle w:val="ECHRHeading2"/>
        <w:rPr>
          <w:lang w:val="ro-RO" w:eastAsia="fr-FR"/>
        </w:rPr>
      </w:pPr>
      <w:r w:rsidRPr="00054DEE">
        <w:rPr>
          <w:lang w:val="ro-RO" w:eastAsia="fr-FR"/>
        </w:rPr>
        <w:lastRenderedPageBreak/>
        <w:t>B.</w:t>
      </w:r>
      <w:r>
        <w:rPr>
          <w:lang w:val="ro-RO" w:eastAsia="fr-FR"/>
        </w:rPr>
        <w:t xml:space="preserve"> Codul penal</w:t>
      </w:r>
    </w:p>
    <w:p w:rsidR="00886CFB" w:rsidRPr="00054DEE" w:rsidRDefault="00886CFB" w:rsidP="00906B0E">
      <w:pPr>
        <w:pStyle w:val="ECHRPara"/>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19</w:t>
      </w:r>
      <w:r w:rsidRPr="00054DEE">
        <w:rPr>
          <w:lang w:val="ro-RO" w:eastAsia="fr-FR"/>
        </w:rPr>
        <w:fldChar w:fldCharType="end"/>
      </w:r>
      <w:r w:rsidRPr="00054DEE">
        <w:rPr>
          <w:lang w:val="ro-RO" w:eastAsia="fr-FR"/>
        </w:rPr>
        <w:t>.</w:t>
      </w:r>
      <w:r>
        <w:rPr>
          <w:lang w:val="ro-RO" w:eastAsia="fr-FR"/>
        </w:rPr>
        <w:t xml:space="preserve"> În momentul producerii faptelor</w:t>
      </w:r>
      <w:r w:rsidRPr="00054DEE">
        <w:rPr>
          <w:lang w:val="ro-RO" w:eastAsia="fr-FR"/>
        </w:rPr>
        <w:t>,</w:t>
      </w:r>
      <w:r>
        <w:rPr>
          <w:lang w:val="ro-RO" w:eastAsia="fr-FR"/>
        </w:rPr>
        <w:t xml:space="preserve"> Art. </w:t>
      </w:r>
      <w:r w:rsidRPr="00054DEE">
        <w:rPr>
          <w:lang w:val="ro-RO" w:eastAsia="fr-FR"/>
        </w:rPr>
        <w:t>195</w:t>
      </w:r>
      <w:r>
        <w:rPr>
          <w:lang w:val="ro-RO" w:eastAsia="fr-FR"/>
        </w:rPr>
        <w:t xml:space="preserve"> din codul penal era formulat astfel</w:t>
      </w:r>
      <w:r w:rsidRPr="00054DEE">
        <w:rPr>
          <w:lang w:val="ro-RO" w:eastAsia="fr-FR"/>
        </w:rPr>
        <w:t>:</w:t>
      </w:r>
    </w:p>
    <w:p w:rsidR="00886CFB" w:rsidRPr="00054DEE" w:rsidRDefault="00886CFB" w:rsidP="00906B0E">
      <w:pPr>
        <w:pStyle w:val="ECHRParaQuote"/>
        <w:rPr>
          <w:lang w:val="ro-RO" w:eastAsia="fr-FR"/>
        </w:rPr>
      </w:pPr>
      <w:r>
        <w:rPr>
          <w:lang w:val="ro-RO" w:eastAsia="fr-FR"/>
        </w:rPr>
        <w:t>„Fapta oricărei persoane de a divulga</w:t>
      </w:r>
      <w:r w:rsidRPr="00054DEE">
        <w:rPr>
          <w:lang w:val="ro-RO" w:eastAsia="fr-FR"/>
        </w:rPr>
        <w:t>,</w:t>
      </w:r>
      <w:r>
        <w:rPr>
          <w:lang w:val="ro-RO" w:eastAsia="fr-FR"/>
        </w:rPr>
        <w:t xml:space="preserve"> în lipsa unei autorizări</w:t>
      </w:r>
      <w:r w:rsidRPr="00054DEE">
        <w:rPr>
          <w:lang w:val="ro-RO" w:eastAsia="fr-FR"/>
        </w:rPr>
        <w:t>,</w:t>
      </w:r>
      <w:r>
        <w:rPr>
          <w:lang w:val="ro-RO" w:eastAsia="fr-FR"/>
        </w:rPr>
        <w:t xml:space="preserve"> secretul altei persoane pe care l-a aflat ca urmare a statutului, misiunii, locului de muncă, profesiunii sau artei sale, este pedepsită cu închisoare care poate dura până la </w:t>
      </w:r>
      <w:r w:rsidRPr="00054DEE">
        <w:rPr>
          <w:lang w:val="ro-RO" w:eastAsia="fr-FR"/>
        </w:rPr>
        <w:t>un</w:t>
      </w:r>
      <w:r>
        <w:rPr>
          <w:lang w:val="ro-RO" w:eastAsia="fr-FR"/>
        </w:rPr>
        <w:t xml:space="preserve"> </w:t>
      </w:r>
      <w:r w:rsidRPr="00054DEE">
        <w:rPr>
          <w:lang w:val="ro-RO" w:eastAsia="fr-FR"/>
        </w:rPr>
        <w:t>an</w:t>
      </w:r>
      <w:r>
        <w:rPr>
          <w:lang w:val="ro-RO" w:eastAsia="fr-FR"/>
        </w:rPr>
        <w:t xml:space="preserve"> sau sancţiune cu amendă care se poate ridica la </w:t>
      </w:r>
      <w:r w:rsidRPr="00054DEE">
        <w:rPr>
          <w:lang w:val="ro-RO" w:eastAsia="fr-FR"/>
        </w:rPr>
        <w:t>240</w:t>
      </w:r>
      <w:r>
        <w:rPr>
          <w:lang w:val="ro-RO" w:eastAsia="fr-FR"/>
        </w:rPr>
        <w:t xml:space="preserve"> de zile</w:t>
      </w:r>
      <w:r w:rsidRPr="00054DEE">
        <w:rPr>
          <w:lang w:val="ro-RO" w:eastAsia="fr-FR"/>
        </w:rPr>
        <w:t>.</w:t>
      </w:r>
      <w:r>
        <w:rPr>
          <w:lang w:val="ro-RO" w:eastAsia="fr-FR"/>
        </w:rPr>
        <w:t>”</w:t>
      </w:r>
    </w:p>
    <w:p w:rsidR="00886CFB" w:rsidRPr="00054DEE" w:rsidRDefault="00886CFB" w:rsidP="00906B0E">
      <w:pPr>
        <w:pStyle w:val="ECHRHeading2"/>
        <w:rPr>
          <w:lang w:val="ro-RO" w:eastAsia="fr-FR"/>
        </w:rPr>
      </w:pPr>
      <w:r w:rsidRPr="00054DEE">
        <w:rPr>
          <w:lang w:val="ro-RO" w:eastAsia="fr-FR"/>
        </w:rPr>
        <w:t>C.</w:t>
      </w:r>
      <w:r>
        <w:rPr>
          <w:lang w:val="ro-RO" w:eastAsia="fr-FR"/>
        </w:rPr>
        <w:t xml:space="preserve"> Legea generală fiscală</w:t>
      </w:r>
    </w:p>
    <w:p w:rsidR="00886CFB" w:rsidRPr="00054DEE" w:rsidRDefault="00886CFB" w:rsidP="00906B0E">
      <w:pPr>
        <w:ind w:firstLine="284"/>
        <w:rPr>
          <w:lang w:val="ro-RO" w:eastAsia="fr-FR"/>
        </w:rPr>
      </w:pPr>
      <w:r w:rsidRPr="00054DEE">
        <w:rPr>
          <w:lang w:val="ro-RO" w:eastAsia="fr-FR"/>
        </w:rPr>
        <w:fldChar w:fldCharType="begin"/>
      </w:r>
      <w:r w:rsidRPr="00054DEE">
        <w:rPr>
          <w:lang w:val="ro-RO" w:eastAsia="fr-FR"/>
        </w:rPr>
        <w:instrText xml:space="preserve"> SEQ level0 \*arabic </w:instrText>
      </w:r>
      <w:r w:rsidRPr="00054DEE">
        <w:rPr>
          <w:lang w:val="ro-RO" w:eastAsia="fr-FR"/>
        </w:rPr>
        <w:fldChar w:fldCharType="separate"/>
      </w:r>
      <w:r w:rsidR="004C1F7F">
        <w:rPr>
          <w:noProof/>
          <w:lang w:val="ro-RO" w:eastAsia="fr-FR"/>
        </w:rPr>
        <w:t>20</w:t>
      </w:r>
      <w:r w:rsidRPr="00054DEE">
        <w:rPr>
          <w:lang w:val="ro-RO" w:eastAsia="fr-FR"/>
        </w:rPr>
        <w:fldChar w:fldCharType="end"/>
      </w:r>
      <w:r w:rsidRPr="00054DEE">
        <w:rPr>
          <w:lang w:val="ro-RO" w:eastAsia="fr-FR"/>
        </w:rPr>
        <w:t>.</w:t>
      </w:r>
      <w:r>
        <w:rPr>
          <w:lang w:val="ro-RO" w:eastAsia="fr-FR"/>
        </w:rPr>
        <w:t xml:space="preserve"> Articolul </w:t>
      </w:r>
      <w:r w:rsidRPr="00054DEE">
        <w:rPr>
          <w:lang w:val="ro-RO" w:eastAsia="fr-FR"/>
        </w:rPr>
        <w:t>63</w:t>
      </w:r>
      <w:r>
        <w:rPr>
          <w:lang w:val="ro-RO" w:eastAsia="fr-FR"/>
        </w:rPr>
        <w:t xml:space="preserve"> din Legea Generală Fiscală </w:t>
      </w:r>
      <w:r w:rsidRPr="00054DEE">
        <w:rPr>
          <w:lang w:val="ro-RO" w:eastAsia="fr-FR"/>
        </w:rPr>
        <w:t>(</w:t>
      </w:r>
      <w:r>
        <w:rPr>
          <w:lang w:val="ro-RO" w:eastAsia="fr-FR"/>
        </w:rPr>
        <w:t>decretul lege nr.</w:t>
      </w:r>
      <w:r>
        <w:rPr>
          <w:vertAlign w:val="superscript"/>
          <w:lang w:val="ro-RO" w:eastAsia="fr-FR"/>
        </w:rPr>
        <w:t xml:space="preserve"> </w:t>
      </w:r>
      <w:r>
        <w:rPr>
          <w:lang w:val="ro-RO" w:eastAsia="fr-FR"/>
        </w:rPr>
        <w:t xml:space="preserve">398/98 din data de </w:t>
      </w:r>
      <w:r w:rsidRPr="00054DEE">
        <w:rPr>
          <w:lang w:val="ro-RO" w:eastAsia="fr-FR"/>
        </w:rPr>
        <w:t>17</w:t>
      </w:r>
      <w:r>
        <w:rPr>
          <w:lang w:val="ro-RO" w:eastAsia="fr-FR"/>
        </w:rPr>
        <w:t xml:space="preserve"> decembrie </w:t>
      </w:r>
      <w:r w:rsidRPr="00054DEE">
        <w:rPr>
          <w:lang w:val="ro-RO" w:eastAsia="fr-FR"/>
        </w:rPr>
        <w:t>1998,</w:t>
      </w:r>
      <w:r>
        <w:rPr>
          <w:lang w:val="ro-RO" w:eastAsia="fr-FR"/>
        </w:rPr>
        <w:t xml:space="preserve"> în versiunea sa emisă prin legea nr.</w:t>
      </w:r>
      <w:r>
        <w:rPr>
          <w:vertAlign w:val="superscript"/>
          <w:lang w:val="ro-RO" w:eastAsia="fr-FR"/>
        </w:rPr>
        <w:t xml:space="preserve"> </w:t>
      </w:r>
      <w:r>
        <w:rPr>
          <w:lang w:val="ro-RO" w:eastAsia="fr-FR"/>
        </w:rPr>
        <w:t xml:space="preserve">55-B/2004 din data de </w:t>
      </w:r>
      <w:r w:rsidRPr="00054DEE">
        <w:rPr>
          <w:lang w:val="ro-RO" w:eastAsia="fr-FR"/>
        </w:rPr>
        <w:t>30</w:t>
      </w:r>
      <w:r>
        <w:rPr>
          <w:lang w:val="ro-RO" w:eastAsia="fr-FR"/>
        </w:rPr>
        <w:t xml:space="preserve"> decembrie 2004) dispune următoarele</w:t>
      </w:r>
      <w:r w:rsidRPr="00054DEE">
        <w:rPr>
          <w:lang w:val="ro-RO" w:eastAsia="fr-FR"/>
        </w:rPr>
        <w:t>:</w:t>
      </w:r>
    </w:p>
    <w:p w:rsidR="00886CFB" w:rsidRPr="00054DEE" w:rsidRDefault="00886CFB" w:rsidP="00906B0E">
      <w:pPr>
        <w:pStyle w:val="ECHRParaQuote"/>
        <w:rPr>
          <w:lang w:val="ro-RO"/>
        </w:rPr>
      </w:pPr>
      <w:r>
        <w:rPr>
          <w:lang w:val="ro-RO"/>
        </w:rPr>
        <w:t>„</w:t>
      </w:r>
      <w:r w:rsidRPr="00054DEE">
        <w:rPr>
          <w:lang w:val="ro-RO"/>
        </w:rPr>
        <w:t>1.</w:t>
      </w:r>
      <w:r>
        <w:rPr>
          <w:lang w:val="ro-RO"/>
        </w:rPr>
        <w:t xml:space="preserve"> Organele competente pot</w:t>
      </w:r>
      <w:r w:rsidRPr="00054DEE">
        <w:rPr>
          <w:lang w:val="ro-RO"/>
        </w:rPr>
        <w:t>,</w:t>
      </w:r>
      <w:r>
        <w:rPr>
          <w:lang w:val="ro-RO"/>
        </w:rPr>
        <w:t xml:space="preserve"> în condiţiile legii</w:t>
      </w:r>
      <w:r w:rsidRPr="00054DEE">
        <w:rPr>
          <w:lang w:val="ro-RO"/>
        </w:rPr>
        <w:t>,</w:t>
      </w:r>
      <w:r>
        <w:rPr>
          <w:lang w:val="ro-RO"/>
        </w:rPr>
        <w:t xml:space="preserve"> să efectueze toate operaţiunile necesare pentru stabilirea situației fiscale a contribuabililor </w:t>
      </w:r>
      <w:r w:rsidRPr="00054DEE">
        <w:rPr>
          <w:lang w:val="ro-RO"/>
        </w:rPr>
        <w:t>(...).</w:t>
      </w:r>
    </w:p>
    <w:p w:rsidR="00886CFB" w:rsidRPr="00054DEE" w:rsidRDefault="00886CFB" w:rsidP="00906B0E">
      <w:pPr>
        <w:pStyle w:val="ECHRParaQuote"/>
        <w:rPr>
          <w:lang w:val="ro-RO"/>
        </w:rPr>
      </w:pPr>
      <w:r w:rsidRPr="00054DEE">
        <w:rPr>
          <w:lang w:val="ro-RO"/>
        </w:rPr>
        <w:t>2.</w:t>
      </w:r>
      <w:r>
        <w:rPr>
          <w:lang w:val="ro-RO"/>
        </w:rPr>
        <w:t xml:space="preserve"> Accesul la o informaţie protejată prin secretul profesional, bancar sau orice altă obligaţie de păstrare a secretului</w:t>
      </w:r>
      <w:r w:rsidRPr="00054DEE">
        <w:rPr>
          <w:lang w:val="ro-RO"/>
        </w:rPr>
        <w:t>,</w:t>
      </w:r>
      <w:r>
        <w:rPr>
          <w:lang w:val="ro-RO"/>
        </w:rPr>
        <w:t xml:space="preserve"> stabilită în mod legal, depinde de o autorizaţie judiciară</w:t>
      </w:r>
      <w:r w:rsidRPr="00054DEE">
        <w:rPr>
          <w:lang w:val="ro-RO"/>
        </w:rPr>
        <w:t>,</w:t>
      </w:r>
      <w:r>
        <w:rPr>
          <w:lang w:val="ro-RO"/>
        </w:rPr>
        <w:t xml:space="preserve"> conform legii aplicabile cu excepţia cazului în care legea admite derogarea de la obligaţia păstrării secretului bancar de către administraţia fiscală independent de această autorizaţie</w:t>
      </w:r>
      <w:r w:rsidRPr="00054DEE">
        <w:rPr>
          <w:lang w:val="ro-RO"/>
        </w:rPr>
        <w:t>.</w:t>
      </w:r>
    </w:p>
    <w:p w:rsidR="00886CFB" w:rsidRPr="00054DEE" w:rsidRDefault="00886CFB" w:rsidP="00906B0E">
      <w:pPr>
        <w:pStyle w:val="ECHRParaQuote"/>
        <w:rPr>
          <w:lang w:val="ro-RO" w:eastAsia="fr-FR"/>
        </w:rPr>
      </w:pP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4.</w:t>
      </w:r>
      <w:r>
        <w:rPr>
          <w:lang w:val="ro-RO" w:eastAsia="fr-FR"/>
        </w:rPr>
        <w:t xml:space="preserve"> Absenţa cooperării în realizarea operaţiunilor prevăzute la numărul </w:t>
      </w:r>
      <w:r w:rsidRPr="00054DEE">
        <w:rPr>
          <w:lang w:val="ro-RO" w:eastAsia="fr-FR"/>
        </w:rPr>
        <w:t>1</w:t>
      </w:r>
      <w:r>
        <w:rPr>
          <w:lang w:val="ro-RO" w:eastAsia="fr-FR"/>
        </w:rPr>
        <w:t xml:space="preserve"> nu va fi legitimă decât dacă acestea implică următoarele</w:t>
      </w: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b)</w:t>
      </w:r>
      <w:r>
        <w:rPr>
          <w:lang w:val="ro-RO" w:eastAsia="fr-FR"/>
        </w:rPr>
        <w:t xml:space="preserve"> Consultarea elementelor protejate de secretul profesional</w:t>
      </w:r>
      <w:r w:rsidRPr="00054DEE">
        <w:rPr>
          <w:lang w:val="ro-RO" w:eastAsia="fr-FR"/>
        </w:rPr>
        <w:t>,</w:t>
      </w:r>
      <w:r>
        <w:rPr>
          <w:lang w:val="ro-RO" w:eastAsia="fr-FR"/>
        </w:rPr>
        <w:t xml:space="preserve"> bancar sau de orice altă obligaţie de păstrare a secretului stabilită în mod legal</w:t>
      </w:r>
      <w:r w:rsidRPr="00054DEE">
        <w:rPr>
          <w:lang w:val="ro-RO" w:eastAsia="fr-FR"/>
        </w:rPr>
        <w:t>,</w:t>
      </w:r>
      <w:r>
        <w:rPr>
          <w:lang w:val="ro-RO" w:eastAsia="fr-FR"/>
        </w:rPr>
        <w:t xml:space="preserve"> cu excepţia autorizării titularului sau a derogării de la obligaţia păstrării secretului bancar de către administrația fiscală legal admisă</w:t>
      </w: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w:t>
      </w:r>
    </w:p>
    <w:p w:rsidR="00886CFB" w:rsidRPr="00054DEE" w:rsidRDefault="00886CFB" w:rsidP="00906B0E">
      <w:pPr>
        <w:pStyle w:val="ECHRParaQuote"/>
        <w:rPr>
          <w:lang w:val="ro-RO" w:eastAsia="fr-FR"/>
        </w:rPr>
      </w:pPr>
      <w:r w:rsidRPr="00054DEE">
        <w:rPr>
          <w:lang w:val="ro-RO" w:eastAsia="fr-FR"/>
        </w:rPr>
        <w:t>5.</w:t>
      </w:r>
      <w:r>
        <w:rPr>
          <w:lang w:val="ro-RO" w:eastAsia="fr-FR"/>
        </w:rPr>
        <w:t xml:space="preserve"> În cazul opoziţiei contribuabilului fondată pe una din circumstanţele indicate în numărul precedent</w:t>
      </w:r>
      <w:r w:rsidRPr="00054DEE">
        <w:rPr>
          <w:lang w:val="ro-RO" w:eastAsia="fr-FR"/>
        </w:rPr>
        <w:t>,</w:t>
      </w:r>
      <w:r>
        <w:rPr>
          <w:lang w:val="ro-RO" w:eastAsia="fr-FR"/>
        </w:rPr>
        <w:t xml:space="preserve"> operaţiunea nu se poate realiza decât cu autorizarea dată de </w:t>
      </w:r>
      <w:r w:rsidRPr="00054DEE">
        <w:rPr>
          <w:lang w:val="ro-RO" w:eastAsia="fr-FR"/>
        </w:rPr>
        <w:t>un</w:t>
      </w:r>
      <w:r>
        <w:rPr>
          <w:lang w:val="ro-RO" w:eastAsia="fr-FR"/>
        </w:rPr>
        <w:t xml:space="preserve"> </w:t>
      </w:r>
      <w:r w:rsidRPr="00054DEE">
        <w:rPr>
          <w:lang w:val="ro-RO" w:eastAsia="fr-FR"/>
        </w:rPr>
        <w:t>tribunal</w:t>
      </w:r>
      <w:r>
        <w:rPr>
          <w:lang w:val="ro-RO" w:eastAsia="fr-FR"/>
        </w:rPr>
        <w:t xml:space="preserve"> de resort compe</w:t>
      </w:r>
      <w:r w:rsidRPr="00054DEE">
        <w:rPr>
          <w:lang w:val="ro-RO" w:eastAsia="fr-FR"/>
        </w:rPr>
        <w:t>tent</w:t>
      </w:r>
      <w:r>
        <w:rPr>
          <w:lang w:val="ro-RO" w:eastAsia="fr-FR"/>
        </w:rPr>
        <w:t xml:space="preserve"> ca urmare a unei cereri depuse de administraţia fiscală </w:t>
      </w:r>
      <w:r w:rsidRPr="00054DEE">
        <w:rPr>
          <w:lang w:val="ro-RO" w:eastAsia="fr-FR"/>
        </w:rPr>
        <w:t>(...)</w:t>
      </w:r>
      <w:r>
        <w:rPr>
          <w:lang w:val="ro-RO" w:eastAsia="fr-FR"/>
        </w:rPr>
        <w:t>”</w:t>
      </w:r>
    </w:p>
    <w:p w:rsidR="00886CFB" w:rsidRPr="00054DEE" w:rsidRDefault="00886CFB" w:rsidP="00906B0E">
      <w:pPr>
        <w:pStyle w:val="ECHRHeading2"/>
        <w:rPr>
          <w:lang w:val="ro-RO" w:eastAsia="fr-FR"/>
        </w:rPr>
      </w:pPr>
      <w:r w:rsidRPr="00054DEE">
        <w:rPr>
          <w:lang w:val="ro-RO" w:eastAsia="fr-FR"/>
        </w:rPr>
        <w:t>D.</w:t>
      </w:r>
      <w:r>
        <w:rPr>
          <w:lang w:val="ro-RO" w:eastAsia="fr-FR"/>
        </w:rPr>
        <w:t xml:space="preserve"> În legătură cu secretul profesional şi cel bancar </w:t>
      </w:r>
    </w:p>
    <w:p w:rsidR="00886CFB" w:rsidRPr="00054DEE" w:rsidRDefault="00886CFB" w:rsidP="00906B0E">
      <w:pPr>
        <w:pStyle w:val="ECHRHeading3"/>
        <w:rPr>
          <w:lang w:val="ro-RO"/>
        </w:rPr>
      </w:pPr>
      <w:r w:rsidRPr="00054DEE">
        <w:rPr>
          <w:lang w:val="ro-RO"/>
        </w:rPr>
        <w:t>1.</w:t>
      </w:r>
      <w:r>
        <w:rPr>
          <w:lang w:val="ro-RO"/>
        </w:rPr>
        <w:t xml:space="preserve"> Statutul Asociaţiei Barourilor</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21</w:t>
      </w:r>
      <w:r w:rsidRPr="00054DEE">
        <w:rPr>
          <w:lang w:val="ro-RO"/>
        </w:rPr>
        <w:fldChar w:fldCharType="end"/>
      </w:r>
      <w:r w:rsidRPr="00054DEE">
        <w:rPr>
          <w:lang w:val="ro-RO"/>
        </w:rPr>
        <w:t>.</w:t>
      </w:r>
      <w:r>
        <w:rPr>
          <w:lang w:val="ro-RO"/>
        </w:rPr>
        <w:t xml:space="preserve"> Articolul </w:t>
      </w:r>
      <w:r w:rsidRPr="00054DEE">
        <w:rPr>
          <w:lang w:val="ro-RO"/>
        </w:rPr>
        <w:t>87</w:t>
      </w:r>
      <w:r>
        <w:rPr>
          <w:lang w:val="ro-RO"/>
        </w:rPr>
        <w:t xml:space="preserve"> din statutul Baroului </w:t>
      </w:r>
      <w:r w:rsidRPr="00054DEE">
        <w:rPr>
          <w:lang w:val="ro-RO"/>
        </w:rPr>
        <w:t>(</w:t>
      </w:r>
      <w:r w:rsidRPr="00054DEE">
        <w:rPr>
          <w:i/>
          <w:lang w:val="ro-RO"/>
        </w:rPr>
        <w:t>Estatuto</w:t>
      </w:r>
      <w:r>
        <w:rPr>
          <w:i/>
          <w:lang w:val="ro-RO"/>
        </w:rPr>
        <w:t xml:space="preserve"> </w:t>
      </w:r>
      <w:r w:rsidRPr="00054DEE">
        <w:rPr>
          <w:i/>
          <w:lang w:val="ro-RO"/>
        </w:rPr>
        <w:t>da</w:t>
      </w:r>
      <w:r>
        <w:rPr>
          <w:i/>
          <w:lang w:val="ro-RO"/>
        </w:rPr>
        <w:t xml:space="preserve"> </w:t>
      </w:r>
      <w:r w:rsidRPr="00054DEE">
        <w:rPr>
          <w:i/>
          <w:lang w:val="ro-RO"/>
        </w:rPr>
        <w:t>Ordem</w:t>
      </w:r>
      <w:r>
        <w:rPr>
          <w:i/>
          <w:lang w:val="ro-RO"/>
        </w:rPr>
        <w:t xml:space="preserve"> </w:t>
      </w:r>
      <w:r w:rsidRPr="00054DEE">
        <w:rPr>
          <w:i/>
          <w:lang w:val="ro-RO"/>
        </w:rPr>
        <w:t>dos</w:t>
      </w:r>
      <w:r>
        <w:rPr>
          <w:i/>
          <w:lang w:val="ro-RO"/>
        </w:rPr>
        <w:t xml:space="preserve"> </w:t>
      </w:r>
      <w:r w:rsidRPr="00054DEE">
        <w:rPr>
          <w:i/>
          <w:lang w:val="ro-RO"/>
        </w:rPr>
        <w:t>Advogados),</w:t>
      </w:r>
      <w:r>
        <w:rPr>
          <w:i/>
          <w:lang w:val="ro-RO"/>
        </w:rPr>
        <w:t xml:space="preserve"> </w:t>
      </w:r>
      <w:r>
        <w:rPr>
          <w:lang w:val="ro-RO"/>
        </w:rPr>
        <w:t xml:space="preserve">aprobat prin legea nr. </w:t>
      </w:r>
      <w:r w:rsidRPr="00054DEE">
        <w:rPr>
          <w:bCs/>
          <w:lang w:val="ro-RO"/>
        </w:rPr>
        <w:t>15/2005</w:t>
      </w:r>
      <w:r>
        <w:rPr>
          <w:bCs/>
          <w:lang w:val="ro-RO"/>
        </w:rPr>
        <w:t xml:space="preserve"> </w:t>
      </w:r>
      <w:r w:rsidRPr="00054DEE">
        <w:rPr>
          <w:bCs/>
          <w:lang w:val="ro-RO"/>
        </w:rPr>
        <w:t>d</w:t>
      </w:r>
      <w:r>
        <w:rPr>
          <w:bCs/>
          <w:lang w:val="ro-RO"/>
        </w:rPr>
        <w:t xml:space="preserve">in </w:t>
      </w:r>
      <w:r w:rsidRPr="00054DEE">
        <w:rPr>
          <w:bCs/>
          <w:lang w:val="ro-RO"/>
        </w:rPr>
        <w:t>26</w:t>
      </w:r>
      <w:r>
        <w:rPr>
          <w:bCs/>
          <w:lang w:val="ro-RO"/>
        </w:rPr>
        <w:t xml:space="preserve"> ianuarie </w:t>
      </w:r>
      <w:r w:rsidRPr="00054DEE">
        <w:rPr>
          <w:bCs/>
          <w:lang w:val="ro-RO"/>
        </w:rPr>
        <w:t>2005,</w:t>
      </w:r>
      <w:r>
        <w:rPr>
          <w:bCs/>
          <w:lang w:val="ro-RO"/>
        </w:rPr>
        <w:t xml:space="preserve"> </w:t>
      </w:r>
      <w:r w:rsidRPr="00054DEE">
        <w:rPr>
          <w:lang w:val="ro-RO"/>
        </w:rPr>
        <w:t>disp</w:t>
      </w:r>
      <w:r>
        <w:rPr>
          <w:lang w:val="ro-RO"/>
        </w:rPr>
        <w:t>une:</w:t>
      </w:r>
    </w:p>
    <w:p w:rsidR="00886CFB" w:rsidRPr="00342C35" w:rsidRDefault="00886CFB" w:rsidP="00906B0E">
      <w:pPr>
        <w:pStyle w:val="ECHRParaQuote"/>
        <w:rPr>
          <w:i/>
          <w:lang w:val="ro-RO"/>
        </w:rPr>
      </w:pPr>
      <w:r w:rsidRPr="00342C35">
        <w:rPr>
          <w:i/>
          <w:lang w:val="ro-RO"/>
        </w:rPr>
        <w:t>„1.</w:t>
      </w:r>
      <w:r>
        <w:rPr>
          <w:i/>
          <w:lang w:val="ro-RO"/>
        </w:rPr>
        <w:t xml:space="preserve"> </w:t>
      </w:r>
      <w:r w:rsidRPr="00342C35">
        <w:rPr>
          <w:i/>
          <w:lang w:val="ro-RO"/>
        </w:rPr>
        <w:t>Avocatul</w:t>
      </w:r>
      <w:r>
        <w:rPr>
          <w:i/>
          <w:lang w:val="ro-RO"/>
        </w:rPr>
        <w:t xml:space="preserve"> </w:t>
      </w:r>
      <w:r w:rsidRPr="00342C35">
        <w:rPr>
          <w:i/>
          <w:lang w:val="ro-RO"/>
        </w:rPr>
        <w:t>este</w:t>
      </w:r>
      <w:r>
        <w:rPr>
          <w:i/>
          <w:lang w:val="ro-RO"/>
        </w:rPr>
        <w:t xml:space="preserve"> </w:t>
      </w:r>
      <w:r w:rsidRPr="00342C35">
        <w:rPr>
          <w:i/>
          <w:lang w:val="ro-RO"/>
        </w:rPr>
        <w:t>obligat</w:t>
      </w:r>
      <w:r>
        <w:rPr>
          <w:i/>
          <w:lang w:val="ro-RO"/>
        </w:rPr>
        <w:t xml:space="preserve"> </w:t>
      </w:r>
      <w:r w:rsidRPr="00342C35">
        <w:rPr>
          <w:i/>
          <w:lang w:val="ro-RO"/>
        </w:rPr>
        <w:t>să</w:t>
      </w:r>
      <w:r>
        <w:rPr>
          <w:i/>
          <w:lang w:val="ro-RO"/>
        </w:rPr>
        <w:t xml:space="preserve"> </w:t>
      </w:r>
      <w:r w:rsidRPr="00342C35">
        <w:rPr>
          <w:i/>
          <w:lang w:val="ro-RO"/>
        </w:rPr>
        <w:t>păstreze</w:t>
      </w:r>
      <w:r>
        <w:rPr>
          <w:i/>
          <w:lang w:val="ro-RO"/>
        </w:rPr>
        <w:t xml:space="preserve"> </w:t>
      </w:r>
      <w:r w:rsidRPr="00342C35">
        <w:rPr>
          <w:i/>
          <w:lang w:val="ro-RO"/>
        </w:rPr>
        <w:t>secretul</w:t>
      </w:r>
      <w:r>
        <w:rPr>
          <w:i/>
          <w:lang w:val="ro-RO"/>
        </w:rPr>
        <w:t xml:space="preserve"> </w:t>
      </w:r>
      <w:r w:rsidRPr="00342C35">
        <w:rPr>
          <w:i/>
          <w:lang w:val="ro-RO"/>
        </w:rPr>
        <w:t>profesional</w:t>
      </w:r>
      <w:r>
        <w:rPr>
          <w:i/>
          <w:lang w:val="ro-RO"/>
        </w:rPr>
        <w:t xml:space="preserve"> </w:t>
      </w:r>
      <w:r w:rsidRPr="00342C35">
        <w:rPr>
          <w:i/>
          <w:lang w:val="ro-RO"/>
        </w:rPr>
        <w:t>privind</w:t>
      </w:r>
      <w:r>
        <w:rPr>
          <w:i/>
          <w:lang w:val="ro-RO"/>
        </w:rPr>
        <w:t xml:space="preserve"> </w:t>
      </w:r>
      <w:r w:rsidRPr="00342C35">
        <w:rPr>
          <w:i/>
          <w:lang w:val="ro-RO"/>
        </w:rPr>
        <w:t>toate</w:t>
      </w:r>
      <w:r>
        <w:rPr>
          <w:i/>
          <w:lang w:val="ro-RO"/>
        </w:rPr>
        <w:t xml:space="preserve"> </w:t>
      </w:r>
      <w:r w:rsidRPr="00342C35">
        <w:rPr>
          <w:i/>
          <w:lang w:val="ro-RO"/>
        </w:rPr>
        <w:t>faptele</w:t>
      </w:r>
      <w:r>
        <w:rPr>
          <w:i/>
          <w:lang w:val="ro-RO"/>
        </w:rPr>
        <w:t xml:space="preserve"> </w:t>
      </w:r>
      <w:r w:rsidRPr="00342C35">
        <w:rPr>
          <w:i/>
          <w:lang w:val="ro-RO"/>
        </w:rPr>
        <w:t>pe</w:t>
      </w:r>
      <w:r>
        <w:rPr>
          <w:i/>
          <w:lang w:val="ro-RO"/>
        </w:rPr>
        <w:t xml:space="preserve"> </w:t>
      </w:r>
      <w:r w:rsidRPr="00342C35">
        <w:rPr>
          <w:i/>
          <w:lang w:val="ro-RO"/>
        </w:rPr>
        <w:t>care</w:t>
      </w:r>
      <w:r>
        <w:rPr>
          <w:i/>
          <w:lang w:val="ro-RO"/>
        </w:rPr>
        <w:t xml:space="preserve"> </w:t>
      </w:r>
      <w:r w:rsidRPr="00342C35">
        <w:rPr>
          <w:i/>
          <w:lang w:val="ro-RO"/>
        </w:rPr>
        <w:t>le</w:t>
      </w:r>
      <w:r>
        <w:rPr>
          <w:i/>
          <w:lang w:val="ro-RO"/>
        </w:rPr>
        <w:t xml:space="preserve"> </w:t>
      </w:r>
      <w:r w:rsidRPr="00342C35">
        <w:rPr>
          <w:i/>
          <w:lang w:val="ro-RO"/>
        </w:rPr>
        <w:t>cunoaşte</w:t>
      </w:r>
      <w:r>
        <w:rPr>
          <w:i/>
          <w:lang w:val="ro-RO"/>
        </w:rPr>
        <w:t xml:space="preserve"> </w:t>
      </w:r>
      <w:r w:rsidRPr="00342C35">
        <w:rPr>
          <w:i/>
          <w:lang w:val="ro-RO"/>
        </w:rPr>
        <w:t>în</w:t>
      </w:r>
      <w:r>
        <w:rPr>
          <w:i/>
          <w:lang w:val="ro-RO"/>
        </w:rPr>
        <w:t xml:space="preserve"> </w:t>
      </w:r>
      <w:r w:rsidRPr="00342C35">
        <w:rPr>
          <w:i/>
          <w:lang w:val="ro-RO"/>
        </w:rPr>
        <w:t>virtutea</w:t>
      </w:r>
      <w:r>
        <w:rPr>
          <w:i/>
          <w:lang w:val="ro-RO"/>
        </w:rPr>
        <w:t xml:space="preserve"> </w:t>
      </w:r>
      <w:r w:rsidRPr="00342C35">
        <w:rPr>
          <w:i/>
          <w:lang w:val="ro-RO"/>
        </w:rPr>
        <w:t>funcţiilor</w:t>
      </w:r>
      <w:r>
        <w:rPr>
          <w:i/>
          <w:lang w:val="ro-RO"/>
        </w:rPr>
        <w:t xml:space="preserve"> </w:t>
      </w:r>
      <w:r w:rsidRPr="00342C35">
        <w:rPr>
          <w:i/>
          <w:lang w:val="ro-RO"/>
        </w:rPr>
        <w:t>sale</w:t>
      </w:r>
      <w:r>
        <w:rPr>
          <w:i/>
          <w:lang w:val="ro-RO"/>
        </w:rPr>
        <w:t xml:space="preserve"> </w:t>
      </w:r>
      <w:r w:rsidRPr="00342C35">
        <w:rPr>
          <w:i/>
          <w:lang w:val="ro-RO"/>
        </w:rPr>
        <w:t>şi</w:t>
      </w:r>
      <w:r>
        <w:rPr>
          <w:i/>
          <w:lang w:val="ro-RO"/>
        </w:rPr>
        <w:t xml:space="preserve"> </w:t>
      </w:r>
      <w:r w:rsidRPr="00342C35">
        <w:rPr>
          <w:i/>
          <w:lang w:val="ro-RO"/>
        </w:rPr>
        <w:t>a</w:t>
      </w:r>
      <w:r>
        <w:rPr>
          <w:i/>
          <w:lang w:val="ro-RO"/>
        </w:rPr>
        <w:t xml:space="preserve"> </w:t>
      </w:r>
      <w:r w:rsidRPr="00342C35">
        <w:rPr>
          <w:i/>
          <w:lang w:val="ro-RO"/>
        </w:rPr>
        <w:t>prestării</w:t>
      </w:r>
      <w:r>
        <w:rPr>
          <w:i/>
          <w:lang w:val="ro-RO"/>
        </w:rPr>
        <w:t xml:space="preserve"> </w:t>
      </w:r>
      <w:r w:rsidRPr="00342C35">
        <w:rPr>
          <w:i/>
          <w:lang w:val="ro-RO"/>
        </w:rPr>
        <w:t>serviciilor</w:t>
      </w:r>
      <w:r>
        <w:rPr>
          <w:i/>
          <w:lang w:val="ro-RO"/>
        </w:rPr>
        <w:t xml:space="preserve"> </w:t>
      </w:r>
      <w:r w:rsidRPr="00342C35">
        <w:rPr>
          <w:i/>
          <w:lang w:val="ro-RO"/>
        </w:rPr>
        <w:t>sale</w:t>
      </w:r>
      <w:r>
        <w:rPr>
          <w:i/>
          <w:lang w:val="ro-RO"/>
        </w:rPr>
        <w:t xml:space="preserve"> </w:t>
      </w:r>
      <w:r w:rsidRPr="00342C35">
        <w:rPr>
          <w:i/>
          <w:lang w:val="ro-RO"/>
        </w:rPr>
        <w:t>(...).</w:t>
      </w:r>
    </w:p>
    <w:p w:rsidR="00886CFB" w:rsidRPr="00342C35" w:rsidRDefault="00886CFB" w:rsidP="00906B0E">
      <w:pPr>
        <w:pStyle w:val="ECHRParaQuote"/>
        <w:rPr>
          <w:i/>
          <w:lang w:val="ro-RO"/>
        </w:rPr>
      </w:pPr>
      <w:r w:rsidRPr="00342C35">
        <w:rPr>
          <w:i/>
          <w:lang w:val="ro-RO"/>
        </w:rPr>
        <w:t>(...)</w:t>
      </w:r>
    </w:p>
    <w:p w:rsidR="00886CFB" w:rsidRPr="00342C35" w:rsidRDefault="00886CFB" w:rsidP="00906B0E">
      <w:pPr>
        <w:pStyle w:val="ECHRParaQuote"/>
        <w:rPr>
          <w:i/>
          <w:lang w:val="ro-RO"/>
        </w:rPr>
      </w:pPr>
      <w:r w:rsidRPr="00342C35">
        <w:rPr>
          <w:i/>
          <w:lang w:val="ro-RO"/>
        </w:rPr>
        <w:lastRenderedPageBreak/>
        <w:t>4.</w:t>
      </w:r>
      <w:r>
        <w:rPr>
          <w:i/>
          <w:lang w:val="ro-RO"/>
        </w:rPr>
        <w:t xml:space="preserve"> </w:t>
      </w:r>
      <w:r w:rsidRPr="00342C35">
        <w:rPr>
          <w:i/>
          <w:lang w:val="ro-RO"/>
        </w:rPr>
        <w:t>Avocatul</w:t>
      </w:r>
      <w:r>
        <w:rPr>
          <w:i/>
          <w:lang w:val="ro-RO"/>
        </w:rPr>
        <w:t xml:space="preserve"> </w:t>
      </w:r>
      <w:r w:rsidRPr="00342C35">
        <w:rPr>
          <w:i/>
          <w:lang w:val="ro-RO"/>
        </w:rPr>
        <w:t>poate</w:t>
      </w:r>
      <w:r>
        <w:rPr>
          <w:i/>
          <w:lang w:val="ro-RO"/>
        </w:rPr>
        <w:t xml:space="preserve"> </w:t>
      </w:r>
      <w:r w:rsidRPr="00342C35">
        <w:rPr>
          <w:i/>
          <w:lang w:val="ro-RO"/>
        </w:rPr>
        <w:t>releva</w:t>
      </w:r>
      <w:r>
        <w:rPr>
          <w:i/>
          <w:lang w:val="ro-RO"/>
        </w:rPr>
        <w:t xml:space="preserve"> </w:t>
      </w:r>
      <w:r w:rsidRPr="00342C35">
        <w:rPr>
          <w:i/>
          <w:lang w:val="ro-RO"/>
        </w:rPr>
        <w:t>faptele</w:t>
      </w:r>
      <w:r>
        <w:rPr>
          <w:i/>
          <w:lang w:val="ro-RO"/>
        </w:rPr>
        <w:t xml:space="preserve"> </w:t>
      </w:r>
      <w:r w:rsidRPr="00342C35">
        <w:rPr>
          <w:i/>
          <w:lang w:val="ro-RO"/>
        </w:rPr>
        <w:t>acoperite</w:t>
      </w:r>
      <w:r>
        <w:rPr>
          <w:i/>
          <w:lang w:val="ro-RO"/>
        </w:rPr>
        <w:t xml:space="preserve"> </w:t>
      </w:r>
      <w:r w:rsidRPr="00342C35">
        <w:rPr>
          <w:i/>
          <w:lang w:val="ro-RO"/>
        </w:rPr>
        <w:t>de</w:t>
      </w:r>
      <w:r>
        <w:rPr>
          <w:i/>
          <w:lang w:val="ro-RO"/>
        </w:rPr>
        <w:t xml:space="preserve"> </w:t>
      </w:r>
      <w:r w:rsidRPr="00342C35">
        <w:rPr>
          <w:i/>
          <w:lang w:val="ro-RO"/>
        </w:rPr>
        <w:t>secretul</w:t>
      </w:r>
      <w:r>
        <w:rPr>
          <w:i/>
          <w:lang w:val="ro-RO"/>
        </w:rPr>
        <w:t xml:space="preserve"> </w:t>
      </w:r>
      <w:r w:rsidRPr="00342C35">
        <w:rPr>
          <w:i/>
          <w:lang w:val="ro-RO"/>
        </w:rPr>
        <w:t>profesional,</w:t>
      </w:r>
      <w:r>
        <w:rPr>
          <w:i/>
          <w:lang w:val="ro-RO"/>
        </w:rPr>
        <w:t xml:space="preserve"> </w:t>
      </w:r>
      <w:r w:rsidRPr="00342C35">
        <w:rPr>
          <w:i/>
          <w:lang w:val="ro-RO"/>
        </w:rPr>
        <w:t>cu</w:t>
      </w:r>
      <w:r>
        <w:rPr>
          <w:i/>
          <w:lang w:val="ro-RO"/>
        </w:rPr>
        <w:t xml:space="preserve"> </w:t>
      </w:r>
      <w:r w:rsidRPr="00342C35">
        <w:rPr>
          <w:i/>
          <w:lang w:val="ro-RO"/>
        </w:rPr>
        <w:t>condiţia</w:t>
      </w:r>
      <w:r>
        <w:rPr>
          <w:i/>
          <w:lang w:val="ro-RO"/>
        </w:rPr>
        <w:t xml:space="preserve"> </w:t>
      </w:r>
      <w:r w:rsidRPr="00342C35">
        <w:rPr>
          <w:i/>
          <w:lang w:val="ro-RO"/>
        </w:rPr>
        <w:t>ca</w:t>
      </w:r>
      <w:r>
        <w:rPr>
          <w:i/>
          <w:lang w:val="ro-RO"/>
        </w:rPr>
        <w:t xml:space="preserve"> </w:t>
      </w:r>
      <w:r w:rsidRPr="00342C35">
        <w:rPr>
          <w:i/>
          <w:lang w:val="ro-RO"/>
        </w:rPr>
        <w:t>acest</w:t>
      </w:r>
      <w:r>
        <w:rPr>
          <w:i/>
          <w:lang w:val="ro-RO"/>
        </w:rPr>
        <w:t xml:space="preserve"> </w:t>
      </w:r>
      <w:r w:rsidRPr="00342C35">
        <w:rPr>
          <w:i/>
          <w:lang w:val="ro-RO"/>
        </w:rPr>
        <w:t>lucru</w:t>
      </w:r>
      <w:r>
        <w:rPr>
          <w:i/>
          <w:lang w:val="ro-RO"/>
        </w:rPr>
        <w:t xml:space="preserve"> </w:t>
      </w:r>
      <w:r w:rsidRPr="00342C35">
        <w:rPr>
          <w:i/>
          <w:lang w:val="ro-RO"/>
        </w:rPr>
        <w:t>să</w:t>
      </w:r>
      <w:r>
        <w:rPr>
          <w:i/>
          <w:lang w:val="ro-RO"/>
        </w:rPr>
        <w:t xml:space="preserve"> </w:t>
      </w:r>
      <w:r w:rsidRPr="00342C35">
        <w:rPr>
          <w:i/>
          <w:lang w:val="ro-RO"/>
        </w:rPr>
        <w:t>fie</w:t>
      </w:r>
      <w:r>
        <w:rPr>
          <w:i/>
          <w:lang w:val="ro-RO"/>
        </w:rPr>
        <w:t xml:space="preserve"> </w:t>
      </w:r>
      <w:r w:rsidRPr="00342C35">
        <w:rPr>
          <w:i/>
          <w:lang w:val="ro-RO"/>
        </w:rPr>
        <w:t>absolut</w:t>
      </w:r>
      <w:r>
        <w:rPr>
          <w:i/>
          <w:lang w:val="ro-RO"/>
        </w:rPr>
        <w:t xml:space="preserve"> </w:t>
      </w:r>
      <w:r w:rsidRPr="00342C35">
        <w:rPr>
          <w:i/>
          <w:lang w:val="ro-RO"/>
        </w:rPr>
        <w:t>necesar</w:t>
      </w:r>
      <w:r>
        <w:rPr>
          <w:i/>
          <w:lang w:val="ro-RO"/>
        </w:rPr>
        <w:t xml:space="preserve"> </w:t>
      </w:r>
      <w:r w:rsidRPr="00342C35">
        <w:rPr>
          <w:i/>
          <w:lang w:val="ro-RO"/>
        </w:rPr>
        <w:t>pentru</w:t>
      </w:r>
      <w:r>
        <w:rPr>
          <w:i/>
          <w:lang w:val="ro-RO"/>
        </w:rPr>
        <w:t xml:space="preserve"> </w:t>
      </w:r>
      <w:r w:rsidRPr="00342C35">
        <w:rPr>
          <w:i/>
          <w:lang w:val="ro-RO"/>
        </w:rPr>
        <w:t>apărarea</w:t>
      </w:r>
      <w:r>
        <w:rPr>
          <w:i/>
          <w:lang w:val="ro-RO"/>
        </w:rPr>
        <w:t xml:space="preserve"> </w:t>
      </w:r>
      <w:r w:rsidRPr="00342C35">
        <w:rPr>
          <w:i/>
          <w:lang w:val="ro-RO"/>
        </w:rPr>
        <w:t>demnităţii,</w:t>
      </w:r>
      <w:r>
        <w:rPr>
          <w:i/>
          <w:lang w:val="ro-RO"/>
        </w:rPr>
        <w:t xml:space="preserve"> </w:t>
      </w:r>
      <w:r w:rsidRPr="00342C35">
        <w:rPr>
          <w:i/>
          <w:lang w:val="ro-RO"/>
        </w:rPr>
        <w:t>drepturilor</w:t>
      </w:r>
      <w:r>
        <w:rPr>
          <w:i/>
          <w:lang w:val="ro-RO"/>
        </w:rPr>
        <w:t xml:space="preserve"> </w:t>
      </w:r>
      <w:r w:rsidRPr="00342C35">
        <w:rPr>
          <w:i/>
          <w:lang w:val="ro-RO"/>
        </w:rPr>
        <w:t>şi</w:t>
      </w:r>
      <w:r>
        <w:rPr>
          <w:i/>
          <w:lang w:val="ro-RO"/>
        </w:rPr>
        <w:t xml:space="preserve"> </w:t>
      </w:r>
      <w:r w:rsidRPr="00342C35">
        <w:rPr>
          <w:i/>
          <w:lang w:val="ro-RO"/>
        </w:rPr>
        <w:t>intereselor</w:t>
      </w:r>
      <w:r>
        <w:rPr>
          <w:i/>
          <w:lang w:val="ro-RO"/>
        </w:rPr>
        <w:t xml:space="preserve"> </w:t>
      </w:r>
      <w:r w:rsidRPr="00342C35">
        <w:rPr>
          <w:i/>
          <w:lang w:val="ro-RO"/>
        </w:rPr>
        <w:t>legitime</w:t>
      </w:r>
      <w:r>
        <w:rPr>
          <w:i/>
          <w:lang w:val="ro-RO"/>
        </w:rPr>
        <w:t xml:space="preserve"> </w:t>
      </w:r>
      <w:r w:rsidRPr="00342C35">
        <w:rPr>
          <w:i/>
          <w:lang w:val="ro-RO"/>
        </w:rPr>
        <w:t>ale</w:t>
      </w:r>
      <w:r>
        <w:rPr>
          <w:i/>
          <w:lang w:val="ro-RO"/>
        </w:rPr>
        <w:t xml:space="preserve"> </w:t>
      </w:r>
      <w:r w:rsidRPr="00342C35">
        <w:rPr>
          <w:i/>
          <w:lang w:val="ro-RO"/>
        </w:rPr>
        <w:t>avocatului,</w:t>
      </w:r>
      <w:r>
        <w:rPr>
          <w:i/>
          <w:lang w:val="ro-RO"/>
        </w:rPr>
        <w:t xml:space="preserve"> </w:t>
      </w:r>
      <w:r w:rsidRPr="00342C35">
        <w:rPr>
          <w:i/>
          <w:lang w:val="ro-RO"/>
        </w:rPr>
        <w:t>clientului</w:t>
      </w:r>
      <w:r>
        <w:rPr>
          <w:i/>
          <w:lang w:val="ro-RO"/>
        </w:rPr>
        <w:t xml:space="preserve"> </w:t>
      </w:r>
      <w:r w:rsidRPr="00342C35">
        <w:rPr>
          <w:i/>
          <w:lang w:val="ro-RO"/>
        </w:rPr>
        <w:t>sau</w:t>
      </w:r>
      <w:r>
        <w:rPr>
          <w:i/>
          <w:lang w:val="ro-RO"/>
        </w:rPr>
        <w:t xml:space="preserve"> </w:t>
      </w:r>
      <w:r w:rsidRPr="00342C35">
        <w:rPr>
          <w:i/>
          <w:lang w:val="ro-RO"/>
        </w:rPr>
        <w:t>reprezentanţilor</w:t>
      </w:r>
      <w:r>
        <w:rPr>
          <w:i/>
          <w:lang w:val="ro-RO"/>
        </w:rPr>
        <w:t xml:space="preserve"> </w:t>
      </w:r>
      <w:r w:rsidRPr="00342C35">
        <w:rPr>
          <w:i/>
          <w:lang w:val="ro-RO"/>
        </w:rPr>
        <w:t>săi,</w:t>
      </w:r>
      <w:r>
        <w:rPr>
          <w:i/>
          <w:lang w:val="ro-RO"/>
        </w:rPr>
        <w:t xml:space="preserve"> </w:t>
      </w:r>
      <w:r w:rsidRPr="00342C35">
        <w:rPr>
          <w:i/>
          <w:lang w:val="ro-RO"/>
        </w:rPr>
        <w:t>cu</w:t>
      </w:r>
      <w:r>
        <w:rPr>
          <w:i/>
          <w:lang w:val="ro-RO"/>
        </w:rPr>
        <w:t xml:space="preserve"> </w:t>
      </w:r>
      <w:r w:rsidRPr="00342C35">
        <w:rPr>
          <w:i/>
          <w:lang w:val="ro-RO"/>
        </w:rPr>
        <w:t>autorizarea</w:t>
      </w:r>
      <w:r>
        <w:rPr>
          <w:i/>
          <w:lang w:val="ro-RO"/>
        </w:rPr>
        <w:t xml:space="preserve"> </w:t>
      </w:r>
      <w:r w:rsidRPr="00342C35">
        <w:rPr>
          <w:i/>
          <w:lang w:val="ro-RO"/>
        </w:rPr>
        <w:t>preşedintelui</w:t>
      </w:r>
      <w:r>
        <w:rPr>
          <w:i/>
          <w:lang w:val="ro-RO"/>
        </w:rPr>
        <w:t xml:space="preserve"> </w:t>
      </w:r>
      <w:r w:rsidRPr="00342C35">
        <w:rPr>
          <w:i/>
          <w:lang w:val="ro-RO"/>
        </w:rPr>
        <w:t>Consiliului</w:t>
      </w:r>
      <w:r>
        <w:rPr>
          <w:i/>
          <w:lang w:val="ro-RO"/>
        </w:rPr>
        <w:t xml:space="preserve"> </w:t>
      </w:r>
      <w:r w:rsidRPr="00342C35">
        <w:rPr>
          <w:i/>
          <w:lang w:val="ro-RO"/>
        </w:rPr>
        <w:t>Asociaţiei</w:t>
      </w:r>
      <w:r>
        <w:rPr>
          <w:i/>
          <w:lang w:val="ro-RO"/>
        </w:rPr>
        <w:t xml:space="preserve"> </w:t>
      </w:r>
      <w:r w:rsidRPr="00342C35">
        <w:rPr>
          <w:i/>
          <w:lang w:val="ro-RO"/>
        </w:rPr>
        <w:t>districtului</w:t>
      </w:r>
      <w:r>
        <w:rPr>
          <w:i/>
          <w:lang w:val="ro-RO"/>
        </w:rPr>
        <w:t xml:space="preserve"> </w:t>
      </w:r>
      <w:r w:rsidRPr="00342C35">
        <w:rPr>
          <w:i/>
          <w:lang w:val="ro-RO"/>
        </w:rPr>
        <w:t>respectiv,</w:t>
      </w:r>
      <w:r>
        <w:rPr>
          <w:i/>
          <w:lang w:val="ro-RO"/>
        </w:rPr>
        <w:t xml:space="preserve"> </w:t>
      </w:r>
      <w:r w:rsidRPr="00342C35">
        <w:rPr>
          <w:i/>
          <w:lang w:val="ro-RO"/>
        </w:rPr>
        <w:t>cu</w:t>
      </w:r>
      <w:r>
        <w:rPr>
          <w:i/>
          <w:lang w:val="ro-RO"/>
        </w:rPr>
        <w:t xml:space="preserve"> </w:t>
      </w:r>
      <w:r w:rsidRPr="00342C35">
        <w:rPr>
          <w:i/>
          <w:lang w:val="ro-RO"/>
        </w:rPr>
        <w:t>posibilitatea</w:t>
      </w:r>
      <w:r>
        <w:rPr>
          <w:i/>
          <w:lang w:val="ro-RO"/>
        </w:rPr>
        <w:t xml:space="preserve"> </w:t>
      </w:r>
      <w:r w:rsidRPr="00342C35">
        <w:rPr>
          <w:i/>
          <w:lang w:val="ro-RO"/>
        </w:rPr>
        <w:t>unui</w:t>
      </w:r>
      <w:r>
        <w:rPr>
          <w:i/>
          <w:lang w:val="ro-RO"/>
        </w:rPr>
        <w:t xml:space="preserve"> </w:t>
      </w:r>
      <w:r w:rsidRPr="00342C35">
        <w:rPr>
          <w:i/>
          <w:lang w:val="ro-RO"/>
        </w:rPr>
        <w:t>recurs</w:t>
      </w:r>
      <w:r>
        <w:rPr>
          <w:i/>
          <w:lang w:val="ro-RO"/>
        </w:rPr>
        <w:t xml:space="preserve"> </w:t>
      </w:r>
      <w:r w:rsidRPr="00342C35">
        <w:rPr>
          <w:i/>
          <w:lang w:val="ro-RO"/>
        </w:rPr>
        <w:t>către</w:t>
      </w:r>
      <w:r>
        <w:rPr>
          <w:i/>
          <w:lang w:val="ro-RO"/>
        </w:rPr>
        <w:t xml:space="preserve"> </w:t>
      </w:r>
      <w:r w:rsidRPr="00342C35">
        <w:rPr>
          <w:i/>
          <w:lang w:val="ro-RO"/>
        </w:rPr>
        <w:t>Preşedintele</w:t>
      </w:r>
      <w:r>
        <w:rPr>
          <w:i/>
          <w:lang w:val="ro-RO"/>
        </w:rPr>
        <w:t xml:space="preserve"> </w:t>
      </w:r>
      <w:r w:rsidRPr="00342C35">
        <w:rPr>
          <w:i/>
          <w:lang w:val="ro-RO"/>
        </w:rPr>
        <w:t>Baroului,</w:t>
      </w:r>
      <w:r>
        <w:rPr>
          <w:i/>
          <w:lang w:val="ro-RO"/>
        </w:rPr>
        <w:t xml:space="preserve"> </w:t>
      </w:r>
      <w:r w:rsidRPr="00342C35">
        <w:rPr>
          <w:i/>
          <w:lang w:val="ro-RO"/>
        </w:rPr>
        <w:t>în</w:t>
      </w:r>
      <w:r>
        <w:rPr>
          <w:i/>
          <w:lang w:val="ro-RO"/>
        </w:rPr>
        <w:t xml:space="preserve"> </w:t>
      </w:r>
      <w:r w:rsidRPr="00342C35">
        <w:rPr>
          <w:i/>
          <w:lang w:val="ro-RO"/>
        </w:rPr>
        <w:t>condiţiile</w:t>
      </w:r>
      <w:r>
        <w:rPr>
          <w:i/>
          <w:lang w:val="ro-RO"/>
        </w:rPr>
        <w:t xml:space="preserve"> </w:t>
      </w:r>
      <w:r w:rsidRPr="00342C35">
        <w:rPr>
          <w:i/>
          <w:lang w:val="ro-RO"/>
        </w:rPr>
        <w:t>prevăzute</w:t>
      </w:r>
      <w:r>
        <w:rPr>
          <w:i/>
          <w:lang w:val="ro-RO"/>
        </w:rPr>
        <w:t xml:space="preserve"> </w:t>
      </w:r>
      <w:r w:rsidRPr="00342C35">
        <w:rPr>
          <w:i/>
          <w:lang w:val="ro-RO"/>
        </w:rPr>
        <w:t>de</w:t>
      </w:r>
      <w:r>
        <w:rPr>
          <w:i/>
          <w:lang w:val="ro-RO"/>
        </w:rPr>
        <w:t xml:space="preserve"> </w:t>
      </w:r>
      <w:r w:rsidRPr="00342C35">
        <w:rPr>
          <w:i/>
          <w:lang w:val="ro-RO"/>
        </w:rPr>
        <w:t>reglementarea</w:t>
      </w:r>
      <w:r>
        <w:rPr>
          <w:i/>
          <w:lang w:val="ro-RO"/>
        </w:rPr>
        <w:t xml:space="preserve"> </w:t>
      </w:r>
      <w:r w:rsidRPr="00342C35">
        <w:rPr>
          <w:i/>
          <w:lang w:val="ro-RO"/>
        </w:rPr>
        <w:t>respectivă.</w:t>
      </w:r>
      <w:r>
        <w:rPr>
          <w:i/>
          <w:lang w:val="ro-RO"/>
        </w:rPr>
        <w:t xml:space="preserve"> </w:t>
      </w:r>
      <w:r w:rsidRPr="00342C35">
        <w:rPr>
          <w:i/>
          <w:lang w:val="ro-RO"/>
        </w:rPr>
        <w:t>»</w:t>
      </w:r>
    </w:p>
    <w:p w:rsidR="00886CFB" w:rsidRPr="00342C35" w:rsidRDefault="00886CFB" w:rsidP="00906B0E">
      <w:pPr>
        <w:pStyle w:val="ECHRParaQuote"/>
        <w:rPr>
          <w:i/>
          <w:lang w:val="ro-RO"/>
        </w:rPr>
      </w:pPr>
      <w:r w:rsidRPr="00342C35">
        <w:rPr>
          <w:i/>
          <w:lang w:val="ro-RO"/>
        </w:rPr>
        <w:t>(...)”</w:t>
      </w:r>
    </w:p>
    <w:p w:rsidR="00886CFB" w:rsidRPr="00054DEE" w:rsidRDefault="00886CFB" w:rsidP="00906B0E">
      <w:pPr>
        <w:pStyle w:val="ECHRHeading3"/>
        <w:rPr>
          <w:lang w:val="ro-RO"/>
        </w:rPr>
      </w:pPr>
      <w:r w:rsidRPr="00054DEE">
        <w:rPr>
          <w:lang w:val="ro-RO"/>
        </w:rPr>
        <w:t>2.</w:t>
      </w:r>
      <w:r>
        <w:rPr>
          <w:lang w:val="ro-RO"/>
        </w:rPr>
        <w:t xml:space="preserve"> Regimul general al instituţiilor de credit şi societăţilor financiare </w:t>
      </w:r>
    </w:p>
    <w:p w:rsidR="00886CFB" w:rsidRPr="00054DEE" w:rsidRDefault="00886CFB" w:rsidP="00906B0E">
      <w:pPr>
        <w:pStyle w:val="JuParaSub"/>
        <w:ind w:left="0"/>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22</w:t>
      </w:r>
      <w:r w:rsidRPr="00054DEE">
        <w:rPr>
          <w:lang w:val="ro-RO"/>
        </w:rPr>
        <w:fldChar w:fldCharType="end"/>
      </w:r>
      <w:r w:rsidRPr="00054DEE">
        <w:rPr>
          <w:lang w:val="ro-RO"/>
        </w:rPr>
        <w:t>.</w:t>
      </w:r>
      <w:r>
        <w:rPr>
          <w:lang w:val="ro-RO"/>
        </w:rPr>
        <w:t xml:space="preserve"> Dispoziţiile pertinente ale regimului general al instituţiilor de credit şi societăţilor financiare </w:t>
      </w:r>
      <w:r w:rsidRPr="00054DEE">
        <w:rPr>
          <w:lang w:val="ro-RO"/>
        </w:rPr>
        <w:t>(</w:t>
      </w:r>
      <w:r>
        <w:rPr>
          <w:lang w:val="ro-RO"/>
        </w:rPr>
        <w:t xml:space="preserve">decretul lege nr. </w:t>
      </w:r>
      <w:r w:rsidRPr="00054DEE">
        <w:rPr>
          <w:lang w:val="ro-RO"/>
        </w:rPr>
        <w:t>298/92</w:t>
      </w:r>
      <w:r>
        <w:rPr>
          <w:lang w:val="ro-RO"/>
        </w:rPr>
        <w:t xml:space="preserve"> </w:t>
      </w:r>
      <w:r w:rsidRPr="00054DEE">
        <w:rPr>
          <w:lang w:val="ro-RO"/>
        </w:rPr>
        <w:t>d</w:t>
      </w:r>
      <w:r>
        <w:rPr>
          <w:lang w:val="ro-RO"/>
        </w:rPr>
        <w:t xml:space="preserve">in </w:t>
      </w:r>
      <w:r w:rsidRPr="00054DEE">
        <w:rPr>
          <w:lang w:val="ro-RO"/>
        </w:rPr>
        <w:t>31</w:t>
      </w:r>
      <w:r>
        <w:rPr>
          <w:lang w:val="ro-RO"/>
        </w:rPr>
        <w:t xml:space="preserve"> decembrie </w:t>
      </w:r>
      <w:r w:rsidRPr="00054DEE">
        <w:rPr>
          <w:lang w:val="ro-RO"/>
        </w:rPr>
        <w:t>1992)</w:t>
      </w:r>
      <w:r>
        <w:rPr>
          <w:lang w:val="ro-RO"/>
        </w:rPr>
        <w:t xml:space="preserve"> sunt următoarele:</w:t>
      </w:r>
    </w:p>
    <w:p w:rsidR="00886CFB" w:rsidRPr="00054DEE" w:rsidRDefault="00886CFB" w:rsidP="00906B0E">
      <w:pPr>
        <w:pStyle w:val="ECHRTitleCentre3"/>
        <w:rPr>
          <w:lang w:val="ro-RO"/>
        </w:rPr>
      </w:pPr>
      <w:r w:rsidRPr="00054DEE">
        <w:rPr>
          <w:lang w:val="ro-RO"/>
        </w:rPr>
        <w:t>Artic</w:t>
      </w:r>
      <w:r>
        <w:rPr>
          <w:lang w:val="ro-RO"/>
        </w:rPr>
        <w:t xml:space="preserve">olul </w:t>
      </w:r>
      <w:r w:rsidRPr="00054DEE">
        <w:rPr>
          <w:lang w:val="ro-RO"/>
        </w:rPr>
        <w:t>78</w:t>
      </w:r>
      <w:r w:rsidRPr="00054DEE">
        <w:rPr>
          <w:lang w:val="ro-RO"/>
        </w:rPr>
        <w:br/>
      </w:r>
      <w:r>
        <w:rPr>
          <w:lang w:val="ro-RO"/>
        </w:rPr>
        <w:t>Obligaţia păstrării secretului bancar</w:t>
      </w:r>
    </w:p>
    <w:p w:rsidR="00886CFB" w:rsidRPr="00054DEE" w:rsidRDefault="00886CFB" w:rsidP="00906B0E">
      <w:pPr>
        <w:pStyle w:val="ECHRParaQuote"/>
        <w:keepNext/>
        <w:keepLines/>
        <w:rPr>
          <w:lang w:val="ro-RO"/>
        </w:rPr>
      </w:pPr>
      <w:r>
        <w:rPr>
          <w:lang w:val="ro-RO"/>
        </w:rPr>
        <w:t>„</w:t>
      </w:r>
      <w:r w:rsidRPr="00054DEE">
        <w:rPr>
          <w:lang w:val="ro-RO"/>
        </w:rPr>
        <w:t>1.</w:t>
      </w:r>
      <w:r>
        <w:rPr>
          <w:lang w:val="ro-RO"/>
        </w:rPr>
        <w:t xml:space="preserve"> Membrii organelor de administrare sau ai fiscalizării instituţiilor de credit</w:t>
      </w:r>
      <w:r w:rsidRPr="00054DEE">
        <w:rPr>
          <w:lang w:val="ro-RO"/>
        </w:rPr>
        <w:t>,</w:t>
      </w:r>
      <w:r>
        <w:rPr>
          <w:lang w:val="ro-RO"/>
        </w:rPr>
        <w:t xml:space="preserve"> angajaţii, mandatarii</w:t>
      </w:r>
      <w:r w:rsidRPr="00054DEE">
        <w:rPr>
          <w:lang w:val="ro-RO"/>
        </w:rPr>
        <w:t>,</w:t>
      </w:r>
      <w:r>
        <w:rPr>
          <w:lang w:val="ro-RO"/>
        </w:rPr>
        <w:t xml:space="preserve"> funcţionarii şi alte persoane care prestează servicii pentru acestea cu titlu </w:t>
      </w:r>
      <w:r w:rsidRPr="00054DEE">
        <w:rPr>
          <w:lang w:val="ro-RO"/>
        </w:rPr>
        <w:t>permanent</w:t>
      </w:r>
      <w:r>
        <w:rPr>
          <w:lang w:val="ro-RO"/>
        </w:rPr>
        <w:t xml:space="preserve"> sau ocazional nu pot divulga sau utiliza informaţiile privind faptele sau elementele legate de viaţa instituţiei sau de relaţiile acesteia cu clienţii pe care le-au cunoscut exclusiv în baza exercitării funcţiilor lor sau a prestării serviciilor lor</w:t>
      </w:r>
      <w:r w:rsidRPr="00054DEE">
        <w:rPr>
          <w:lang w:val="ro-RO"/>
        </w:rPr>
        <w:t>.</w:t>
      </w:r>
    </w:p>
    <w:p w:rsidR="00886CFB" w:rsidRPr="00054DEE" w:rsidRDefault="00886CFB" w:rsidP="00906B0E">
      <w:pPr>
        <w:pStyle w:val="ECHRParaQuote"/>
        <w:keepNext/>
        <w:keepLines/>
        <w:rPr>
          <w:lang w:val="ro-RO"/>
        </w:rPr>
      </w:pPr>
      <w:r w:rsidRPr="00054DEE">
        <w:rPr>
          <w:lang w:val="ro-RO"/>
        </w:rPr>
        <w:t>2.</w:t>
      </w:r>
      <w:r>
        <w:rPr>
          <w:lang w:val="ro-RO"/>
        </w:rPr>
        <w:t xml:space="preserve"> Secretul se referă mai ales la numele clienţilor</w:t>
      </w:r>
      <w:r w:rsidRPr="00054DEE">
        <w:rPr>
          <w:lang w:val="ro-RO"/>
        </w:rPr>
        <w:t>,</w:t>
      </w:r>
      <w:r>
        <w:rPr>
          <w:lang w:val="ro-RO"/>
        </w:rPr>
        <w:t xml:space="preserve"> conturile de depozite şi transferurile acestora şi alte operaţiuni bancare </w:t>
      </w:r>
    </w:p>
    <w:p w:rsidR="00886CFB" w:rsidRPr="00054DEE" w:rsidRDefault="00886CFB" w:rsidP="00906B0E">
      <w:pPr>
        <w:pStyle w:val="ECHRParaQuote"/>
        <w:keepNext/>
        <w:keepLines/>
        <w:rPr>
          <w:lang w:val="ro-RO"/>
        </w:rPr>
      </w:pPr>
      <w:r w:rsidRPr="00054DEE">
        <w:rPr>
          <w:lang w:val="ro-RO"/>
        </w:rPr>
        <w:t>(...)</w:t>
      </w:r>
      <w:r>
        <w:rPr>
          <w:lang w:val="ro-RO"/>
        </w:rPr>
        <w:t>”</w:t>
      </w:r>
    </w:p>
    <w:p w:rsidR="00886CFB" w:rsidRPr="00054DEE" w:rsidRDefault="00886CFB" w:rsidP="00906B0E">
      <w:pPr>
        <w:pStyle w:val="ECHRTitleCentre3"/>
        <w:rPr>
          <w:lang w:val="ro-RO"/>
        </w:rPr>
      </w:pPr>
      <w:r w:rsidRPr="00054DEE">
        <w:rPr>
          <w:lang w:val="ro-RO"/>
        </w:rPr>
        <w:t>Artic</w:t>
      </w:r>
      <w:r>
        <w:rPr>
          <w:lang w:val="ro-RO"/>
        </w:rPr>
        <w:t xml:space="preserve">olul </w:t>
      </w:r>
      <w:r w:rsidRPr="00054DEE">
        <w:rPr>
          <w:lang w:val="ro-RO"/>
        </w:rPr>
        <w:t>79</w:t>
      </w:r>
      <w:r w:rsidRPr="00054DEE">
        <w:rPr>
          <w:lang w:val="ro-RO"/>
        </w:rPr>
        <w:br/>
      </w:r>
      <w:r>
        <w:rPr>
          <w:lang w:val="ro-RO"/>
        </w:rPr>
        <w:t>Excepţii de la obligaţia păstrării secretului</w:t>
      </w:r>
    </w:p>
    <w:p w:rsidR="00886CFB" w:rsidRPr="00054DEE" w:rsidRDefault="00886CFB" w:rsidP="00906B0E">
      <w:pPr>
        <w:pStyle w:val="ECHRParaQuote"/>
        <w:keepNext/>
        <w:keepLines/>
        <w:rPr>
          <w:lang w:val="ro-RO"/>
        </w:rPr>
      </w:pPr>
      <w:r>
        <w:rPr>
          <w:lang w:val="ro-RO"/>
        </w:rPr>
        <w:t>„</w:t>
      </w:r>
      <w:r w:rsidRPr="00054DEE">
        <w:rPr>
          <w:lang w:val="ro-RO"/>
        </w:rPr>
        <w:t>1.</w:t>
      </w:r>
      <w:r>
        <w:rPr>
          <w:lang w:val="ro-RO"/>
        </w:rPr>
        <w:t xml:space="preserve"> Faptele sau elementele privind relaţiile clientului cu instituţia pot fi divulgate cu autorizarea clientului, transmisă instituţiei</w:t>
      </w:r>
      <w:r w:rsidRPr="00054DEE">
        <w:rPr>
          <w:lang w:val="ro-RO"/>
        </w:rPr>
        <w:t>.</w:t>
      </w:r>
    </w:p>
    <w:p w:rsidR="00886CFB" w:rsidRPr="00054DEE" w:rsidRDefault="00886CFB" w:rsidP="00906B0E">
      <w:pPr>
        <w:pStyle w:val="ECHRParaQuote"/>
        <w:keepNext/>
        <w:keepLines/>
        <w:rPr>
          <w:lang w:val="ro-RO"/>
        </w:rPr>
      </w:pPr>
      <w:r w:rsidRPr="00054DEE">
        <w:rPr>
          <w:lang w:val="ro-RO"/>
        </w:rPr>
        <w:t>2.</w:t>
      </w:r>
      <w:r>
        <w:rPr>
          <w:lang w:val="ro-RO"/>
        </w:rPr>
        <w:t xml:space="preserve"> În afară </w:t>
      </w:r>
      <w:r w:rsidRPr="00054DEE">
        <w:rPr>
          <w:lang w:val="ro-RO"/>
        </w:rPr>
        <w:t>de</w:t>
      </w:r>
      <w:r>
        <w:rPr>
          <w:lang w:val="ro-RO"/>
        </w:rPr>
        <w:t xml:space="preserve"> ceea ce este prevăzut la punctul precedent</w:t>
      </w:r>
      <w:r w:rsidRPr="00054DEE">
        <w:rPr>
          <w:lang w:val="ro-RO"/>
        </w:rPr>
        <w:t>,</w:t>
      </w:r>
      <w:r>
        <w:rPr>
          <w:lang w:val="ro-RO"/>
        </w:rPr>
        <w:t xml:space="preserve"> faptele şi elementele protejate prin obligaţia păstrării secretului nu pot fi divulgate decât în cazurile următoare</w:t>
      </w:r>
      <w:r w:rsidRPr="00054DEE">
        <w:rPr>
          <w:lang w:val="ro-RO"/>
        </w:rPr>
        <w:t>:</w:t>
      </w:r>
    </w:p>
    <w:p w:rsidR="00886CFB" w:rsidRPr="00054DEE" w:rsidRDefault="00886CFB" w:rsidP="00906B0E">
      <w:pPr>
        <w:pStyle w:val="ECHRParaQuote"/>
        <w:keepNext/>
        <w:keepLines/>
        <w:rPr>
          <w:lang w:val="ro-RO"/>
        </w:rPr>
      </w:pPr>
      <w:r w:rsidRPr="00054DEE">
        <w:rPr>
          <w:lang w:val="ro-RO"/>
        </w:rPr>
        <w:t>(...)</w:t>
      </w:r>
    </w:p>
    <w:p w:rsidR="00886CFB" w:rsidRPr="00054DEE" w:rsidRDefault="00886CFB" w:rsidP="00906B0E">
      <w:pPr>
        <w:pStyle w:val="ECHRParaQuote"/>
        <w:keepNext/>
        <w:keepLines/>
        <w:rPr>
          <w:lang w:val="ro-RO"/>
        </w:rPr>
      </w:pPr>
      <w:r w:rsidRPr="00054DEE">
        <w:rPr>
          <w:lang w:val="ro-RO"/>
        </w:rPr>
        <w:t>d)</w:t>
      </w:r>
      <w:r>
        <w:rPr>
          <w:lang w:val="ro-RO"/>
        </w:rPr>
        <w:t xml:space="preserve"> În aplicarea prevederilor legii pe</w:t>
      </w:r>
      <w:r w:rsidRPr="00054DEE">
        <w:rPr>
          <w:lang w:val="ro-RO"/>
        </w:rPr>
        <w:t>nale</w:t>
      </w:r>
      <w:r>
        <w:rPr>
          <w:lang w:val="ro-RO"/>
        </w:rPr>
        <w:t xml:space="preserve"> şi a procedurii penale</w:t>
      </w:r>
      <w:r w:rsidRPr="00054DEE">
        <w:rPr>
          <w:lang w:val="ro-RO"/>
        </w:rPr>
        <w:t>;</w:t>
      </w:r>
    </w:p>
    <w:p w:rsidR="00886CFB" w:rsidRPr="00054DEE" w:rsidRDefault="00886CFB" w:rsidP="00906B0E">
      <w:pPr>
        <w:pStyle w:val="ECHRParaQuote"/>
        <w:keepNext/>
        <w:keepLines/>
        <w:rPr>
          <w:lang w:val="ro-RO"/>
        </w:rPr>
      </w:pPr>
      <w:r w:rsidRPr="00054DEE">
        <w:rPr>
          <w:lang w:val="ro-RO"/>
        </w:rPr>
        <w:t>(...</w:t>
      </w:r>
      <w:r>
        <w:rPr>
          <w:lang w:val="ro-RO"/>
        </w:rPr>
        <w:t>).”</w:t>
      </w:r>
    </w:p>
    <w:p w:rsidR="00886CFB" w:rsidRPr="00054DEE" w:rsidRDefault="00886CFB" w:rsidP="00906B0E">
      <w:pPr>
        <w:pStyle w:val="ECHRHeading3"/>
        <w:rPr>
          <w:lang w:val="ro-RO"/>
        </w:rPr>
      </w:pPr>
      <w:r w:rsidRPr="00054DEE">
        <w:rPr>
          <w:lang w:val="ro-RO"/>
        </w:rPr>
        <w:t>3.</w:t>
      </w:r>
      <w:r>
        <w:rPr>
          <w:lang w:val="ro-RO"/>
        </w:rPr>
        <w:t xml:space="preserve"> Jurisprudenţa internă privind articolul </w:t>
      </w:r>
      <w:r w:rsidRPr="00054DEE">
        <w:rPr>
          <w:lang w:val="ro-RO"/>
        </w:rPr>
        <w:t>135</w:t>
      </w:r>
      <w:r>
        <w:rPr>
          <w:lang w:val="ro-RO"/>
        </w:rPr>
        <w:t xml:space="preserve"> din codul de procedură penală </w:t>
      </w:r>
    </w:p>
    <w:p w:rsidR="00886CFB" w:rsidRPr="00054DEE" w:rsidRDefault="00886CFB" w:rsidP="00906B0E">
      <w:pPr>
        <w:pStyle w:val="ECHRHeading4"/>
        <w:rPr>
          <w:lang w:val="ro-RO"/>
        </w:rPr>
      </w:pPr>
      <w:r w:rsidRPr="00054DEE">
        <w:rPr>
          <w:lang w:val="ro-RO"/>
        </w:rPr>
        <w:t>a)</w:t>
      </w:r>
      <w:r>
        <w:rPr>
          <w:lang w:val="ro-RO"/>
        </w:rPr>
        <w:t xml:space="preserve"> Jurisprudenţa </w:t>
      </w:r>
      <w:r w:rsidRPr="00054DEE">
        <w:rPr>
          <w:lang w:val="ro-RO"/>
        </w:rPr>
        <w:t>Tribunal</w:t>
      </w:r>
      <w:r>
        <w:rPr>
          <w:lang w:val="ro-RO"/>
        </w:rPr>
        <w:t xml:space="preserve">ului </w:t>
      </w:r>
      <w:r w:rsidRPr="00054DEE">
        <w:rPr>
          <w:lang w:val="ro-RO"/>
        </w:rPr>
        <w:t>constitu</w:t>
      </w:r>
      <w:r>
        <w:rPr>
          <w:lang w:val="ro-RO"/>
        </w:rPr>
        <w:t>ţional</w:t>
      </w:r>
    </w:p>
    <w:p w:rsidR="00886CFB" w:rsidRPr="00054DEE" w:rsidRDefault="00886CFB" w:rsidP="00906B0E">
      <w:pPr>
        <w:pStyle w:val="JuParaSub"/>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23</w:t>
      </w:r>
      <w:r w:rsidRPr="00054DEE">
        <w:rPr>
          <w:lang w:val="ro-RO"/>
        </w:rPr>
        <w:fldChar w:fldCharType="end"/>
      </w:r>
      <w:r w:rsidRPr="00054DEE">
        <w:rPr>
          <w:lang w:val="ro-RO"/>
        </w:rPr>
        <w:t>.</w:t>
      </w:r>
      <w:r>
        <w:rPr>
          <w:lang w:val="ro-RO"/>
        </w:rPr>
        <w:t xml:space="preserve"> În hotărârea sa nr. </w:t>
      </w:r>
      <w:r w:rsidRPr="00054DEE">
        <w:rPr>
          <w:lang w:val="ro-RO"/>
        </w:rPr>
        <w:t>589/2005</w:t>
      </w:r>
      <w:r>
        <w:rPr>
          <w:lang w:val="ro-RO"/>
        </w:rPr>
        <w:t xml:space="preserve"> </w:t>
      </w:r>
      <w:r w:rsidRPr="00054DEE">
        <w:rPr>
          <w:lang w:val="ro-RO"/>
        </w:rPr>
        <w:t>d</w:t>
      </w:r>
      <w:r>
        <w:rPr>
          <w:lang w:val="ro-RO"/>
        </w:rPr>
        <w:t xml:space="preserve">in data de </w:t>
      </w:r>
      <w:r w:rsidRPr="00054DEE">
        <w:rPr>
          <w:lang w:val="ro-RO"/>
        </w:rPr>
        <w:t>2</w:t>
      </w:r>
      <w:r>
        <w:rPr>
          <w:lang w:val="ro-RO"/>
        </w:rPr>
        <w:t xml:space="preserve"> noiembrie </w:t>
      </w:r>
      <w:r w:rsidRPr="00054DEE">
        <w:rPr>
          <w:lang w:val="ro-RO"/>
        </w:rPr>
        <w:t>2005,</w:t>
      </w:r>
      <w:r>
        <w:rPr>
          <w:lang w:val="ro-RO"/>
        </w:rPr>
        <w:t xml:space="preserve"> Tribunalul Constituţional a considerat că în examinarea incidentului de procedură privind ridicarea secretului profesional deschis în cursul unei anchete penale</w:t>
      </w:r>
      <w:r w:rsidRPr="00054DEE">
        <w:rPr>
          <w:lang w:val="ro-RO"/>
        </w:rPr>
        <w:t>,</w:t>
      </w:r>
      <w:r>
        <w:rPr>
          <w:lang w:val="ro-RO"/>
        </w:rPr>
        <w:t xml:space="preserve"> tribunalul de instrucţie penală </w:t>
      </w:r>
      <w:r w:rsidRPr="00054DEE">
        <w:rPr>
          <w:lang w:val="ro-RO"/>
        </w:rPr>
        <w:t>se</w:t>
      </w:r>
      <w:r>
        <w:rPr>
          <w:lang w:val="ro-RO"/>
        </w:rPr>
        <w:t xml:space="preserve"> limitează la verificarea caracterului legitim al invocării secretului profesional pentru ca ulterior să înainteze din oficiu problema la curtea de apel pentru ca aceasta să </w:t>
      </w:r>
      <w:r>
        <w:rPr>
          <w:lang w:val="ro-RO"/>
        </w:rPr>
        <w:lastRenderedPageBreak/>
        <w:t>autorizeze ridicarea secretului profesional</w:t>
      </w:r>
      <w:r w:rsidRPr="00054DEE">
        <w:rPr>
          <w:lang w:val="ro-RO"/>
        </w:rPr>
        <w:t>.</w:t>
      </w:r>
      <w:r>
        <w:rPr>
          <w:lang w:val="ro-RO"/>
        </w:rPr>
        <w:t xml:space="preserve"> Acesta a concluzionat că curtea de apel a intervenit în acest mod ca jurisdicţie de primă instanţă</w:t>
      </w:r>
      <w:r w:rsidRPr="00054DEE">
        <w:rPr>
          <w:lang w:val="ro-RO"/>
        </w:rPr>
        <w:t>.</w:t>
      </w:r>
    </w:p>
    <w:p w:rsidR="00886CFB" w:rsidRPr="00054DEE" w:rsidRDefault="00886CFB" w:rsidP="00906B0E">
      <w:pPr>
        <w:pStyle w:val="ECHRHeading4"/>
        <w:rPr>
          <w:lang w:val="ro-RO"/>
        </w:rPr>
      </w:pPr>
      <w:r w:rsidRPr="00054DEE">
        <w:rPr>
          <w:lang w:val="ro-RO"/>
        </w:rPr>
        <w:t>b)</w:t>
      </w:r>
      <w:r>
        <w:rPr>
          <w:lang w:val="ro-RO"/>
        </w:rPr>
        <w:t xml:space="preserve"> Jurisprudenţa Curţii Supreme</w:t>
      </w:r>
    </w:p>
    <w:p w:rsidR="00886CFB" w:rsidRPr="00054DEE" w:rsidRDefault="00886CFB" w:rsidP="00906B0E">
      <w:pPr>
        <w:pStyle w:val="JuParaSub"/>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24</w:t>
      </w:r>
      <w:r w:rsidRPr="00054DEE">
        <w:rPr>
          <w:lang w:val="ro-RO"/>
        </w:rPr>
        <w:fldChar w:fldCharType="end"/>
      </w:r>
      <w:r w:rsidRPr="00054DEE">
        <w:rPr>
          <w:lang w:val="ro-RO"/>
        </w:rPr>
        <w:t>.</w:t>
      </w:r>
      <w:r>
        <w:rPr>
          <w:lang w:val="ro-RO"/>
        </w:rPr>
        <w:t xml:space="preserve"> Într-o hotărâre din data de </w:t>
      </w:r>
      <w:r w:rsidRPr="00054DEE">
        <w:rPr>
          <w:lang w:val="ro-RO"/>
        </w:rPr>
        <w:t>12</w:t>
      </w:r>
      <w:r>
        <w:rPr>
          <w:lang w:val="ro-RO"/>
        </w:rPr>
        <w:t xml:space="preserve"> iulie </w:t>
      </w:r>
      <w:r w:rsidRPr="00054DEE">
        <w:rPr>
          <w:lang w:val="ro-RO"/>
        </w:rPr>
        <w:t>2005</w:t>
      </w:r>
      <w:r>
        <w:rPr>
          <w:lang w:val="ro-RO"/>
        </w:rPr>
        <w:t xml:space="preserve"> </w:t>
      </w:r>
      <w:r w:rsidRPr="00054DEE">
        <w:rPr>
          <w:lang w:val="ro-RO"/>
        </w:rPr>
        <w:t>(</w:t>
      </w:r>
      <w:r>
        <w:rPr>
          <w:lang w:val="ro-RO"/>
        </w:rPr>
        <w:t xml:space="preserve">procedura internă nr. </w:t>
      </w:r>
      <w:r w:rsidRPr="00054DEE">
        <w:rPr>
          <w:lang w:val="ro-RO"/>
        </w:rPr>
        <w:t>05B1901),</w:t>
      </w:r>
      <w:r>
        <w:rPr>
          <w:lang w:val="ro-RO"/>
        </w:rPr>
        <w:t xml:space="preserve"> Curtea Supremă a considerat că nu este posibil să se facă apel împotriva unei decizii a unei curţi de apel care a avut cunoştinţă privind un </w:t>
      </w:r>
      <w:r w:rsidRPr="00054DEE">
        <w:rPr>
          <w:lang w:val="ro-RO"/>
        </w:rPr>
        <w:t>incident</w:t>
      </w:r>
      <w:r>
        <w:rPr>
          <w:lang w:val="ro-RO"/>
        </w:rPr>
        <w:t xml:space="preserve"> </w:t>
      </w:r>
      <w:r w:rsidRPr="00054DEE">
        <w:rPr>
          <w:lang w:val="ro-RO"/>
        </w:rPr>
        <w:t>de</w:t>
      </w:r>
      <w:r>
        <w:rPr>
          <w:lang w:val="ro-RO"/>
        </w:rPr>
        <w:t xml:space="preserve"> procedură legat de scutirea de secretul bancar în cadrul unei proceduri penale în aplicarea articolului </w:t>
      </w:r>
      <w:r w:rsidRPr="00054DEE">
        <w:rPr>
          <w:lang w:val="ro-RO"/>
        </w:rPr>
        <w:t>135</w:t>
      </w:r>
      <w:r>
        <w:rPr>
          <w:lang w:val="ro-RO"/>
        </w:rPr>
        <w:t xml:space="preserve"> </w:t>
      </w:r>
      <w:r w:rsidRPr="00054DEE">
        <w:rPr>
          <w:lang w:val="ro-RO"/>
        </w:rPr>
        <w:t>§§</w:t>
      </w:r>
      <w:r>
        <w:rPr>
          <w:lang w:val="ro-RO"/>
        </w:rPr>
        <w:t xml:space="preserve"> </w:t>
      </w:r>
      <w:r w:rsidRPr="00054DEE">
        <w:rPr>
          <w:lang w:val="ro-RO"/>
        </w:rPr>
        <w:t>2</w:t>
      </w:r>
      <w:r>
        <w:rPr>
          <w:lang w:val="ro-RO"/>
        </w:rPr>
        <w:t xml:space="preserve"> şi </w:t>
      </w:r>
      <w:r w:rsidRPr="00054DEE">
        <w:rPr>
          <w:lang w:val="ro-RO"/>
        </w:rPr>
        <w:t>3</w:t>
      </w:r>
      <w:r>
        <w:rPr>
          <w:lang w:val="ro-RO"/>
        </w:rPr>
        <w:t xml:space="preserve"> din codul de procedură penală</w:t>
      </w:r>
      <w:r w:rsidRPr="00054DEE">
        <w:rPr>
          <w:lang w:val="ro-RO"/>
        </w:rPr>
        <w:t>.</w:t>
      </w:r>
    </w:p>
    <w:p w:rsidR="00886CFB" w:rsidRPr="00054DEE" w:rsidRDefault="00886CFB" w:rsidP="00906B0E">
      <w:pPr>
        <w:pStyle w:val="JuParaSub"/>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25</w:t>
      </w:r>
      <w:r w:rsidRPr="00054DEE">
        <w:rPr>
          <w:lang w:val="ro-RO"/>
        </w:rPr>
        <w:fldChar w:fldCharType="end"/>
      </w:r>
      <w:r w:rsidRPr="00054DEE">
        <w:rPr>
          <w:lang w:val="ro-RO"/>
        </w:rPr>
        <w:t>.</w:t>
      </w:r>
      <w:r>
        <w:rPr>
          <w:lang w:val="ro-RO"/>
        </w:rPr>
        <w:t xml:space="preserve"> Într-o hotărâre din data de </w:t>
      </w:r>
      <w:r w:rsidRPr="00054DEE">
        <w:rPr>
          <w:lang w:val="ro-RO"/>
        </w:rPr>
        <w:t>21</w:t>
      </w:r>
      <w:r>
        <w:rPr>
          <w:lang w:val="ro-RO"/>
        </w:rPr>
        <w:t xml:space="preserve"> aprilie </w:t>
      </w:r>
      <w:r w:rsidRPr="00054DEE">
        <w:rPr>
          <w:lang w:val="ro-RO"/>
        </w:rPr>
        <w:t>2005</w:t>
      </w:r>
      <w:r>
        <w:rPr>
          <w:lang w:val="ro-RO"/>
        </w:rPr>
        <w:t xml:space="preserve"> </w:t>
      </w:r>
      <w:r w:rsidRPr="00054DEE">
        <w:rPr>
          <w:lang w:val="ro-RO"/>
        </w:rPr>
        <w:t>(</w:t>
      </w:r>
      <w:r>
        <w:rPr>
          <w:lang w:val="ro-RO"/>
        </w:rPr>
        <w:t xml:space="preserve">procedura internă nr. </w:t>
      </w:r>
      <w:r w:rsidRPr="00054DEE">
        <w:rPr>
          <w:lang w:val="ro-RO"/>
        </w:rPr>
        <w:t>05P1300),</w:t>
      </w:r>
      <w:r>
        <w:rPr>
          <w:lang w:val="ro-RO"/>
        </w:rPr>
        <w:t xml:space="preserve"> Curtea Supremă a considerat că ridicarea secretului profesional impune o ponderare prudentă a valorilor concurente pentru a se stabili dacă secretul profesional trebuie sau nu să cedeze în faţa altor interese</w:t>
      </w:r>
      <w:r w:rsidRPr="00054DEE">
        <w:rPr>
          <w:lang w:val="ro-RO"/>
        </w:rPr>
        <w:t>,</w:t>
      </w:r>
      <w:r>
        <w:rPr>
          <w:lang w:val="ro-RO"/>
        </w:rPr>
        <w:t xml:space="preserve"> intervenţia unei autorităţi judiciare este deci necesară</w:t>
      </w:r>
      <w:r w:rsidRPr="00054DEE">
        <w:rPr>
          <w:lang w:val="ro-RO"/>
        </w:rPr>
        <w:t>.</w:t>
      </w:r>
      <w:r>
        <w:rPr>
          <w:lang w:val="ro-RO"/>
        </w:rPr>
        <w:t xml:space="preserve"> Ea a înţeles, de asemenea, că avizul organismului profesional prevăzut de articolul </w:t>
      </w:r>
      <w:r w:rsidRPr="00054DEE">
        <w:rPr>
          <w:lang w:val="ro-RO"/>
        </w:rPr>
        <w:t>135</w:t>
      </w:r>
      <w:r>
        <w:rPr>
          <w:lang w:val="ro-RO"/>
        </w:rPr>
        <w:t xml:space="preserve"> </w:t>
      </w:r>
      <w:r w:rsidRPr="00054DEE">
        <w:rPr>
          <w:lang w:val="ro-RO"/>
        </w:rPr>
        <w:t>§</w:t>
      </w:r>
      <w:r>
        <w:rPr>
          <w:lang w:val="ro-RO"/>
        </w:rPr>
        <w:t xml:space="preserve"> </w:t>
      </w:r>
      <w:r w:rsidRPr="00054DEE">
        <w:rPr>
          <w:lang w:val="ro-RO"/>
        </w:rPr>
        <w:t>5</w:t>
      </w:r>
      <w:r>
        <w:rPr>
          <w:lang w:val="ro-RO"/>
        </w:rPr>
        <w:t xml:space="preserve"> </w:t>
      </w:r>
      <w:r w:rsidRPr="00054DEE">
        <w:rPr>
          <w:lang w:val="ro-RO"/>
        </w:rPr>
        <w:t>d</w:t>
      </w:r>
      <w:r>
        <w:rPr>
          <w:lang w:val="ro-RO"/>
        </w:rPr>
        <w:t xml:space="preserve">in </w:t>
      </w:r>
      <w:r w:rsidRPr="00054DEE">
        <w:rPr>
          <w:lang w:val="ro-RO"/>
        </w:rPr>
        <w:t>CPP</w:t>
      </w:r>
      <w:r>
        <w:rPr>
          <w:lang w:val="ro-RO"/>
        </w:rPr>
        <w:t xml:space="preserve"> nu este legat decât de membrii săi şi nu de tribunalele chemate să decidă în ceea ce priveşte un </w:t>
      </w:r>
      <w:r w:rsidRPr="00054DEE">
        <w:rPr>
          <w:lang w:val="ro-RO"/>
        </w:rPr>
        <w:t>incident</w:t>
      </w:r>
      <w:r>
        <w:rPr>
          <w:lang w:val="ro-RO"/>
        </w:rPr>
        <w:t xml:space="preserve"> </w:t>
      </w:r>
      <w:r w:rsidRPr="00054DEE">
        <w:rPr>
          <w:lang w:val="ro-RO"/>
        </w:rPr>
        <w:t>de</w:t>
      </w:r>
      <w:r>
        <w:rPr>
          <w:lang w:val="ro-RO"/>
        </w:rPr>
        <w:t xml:space="preserve"> ridicare a secretului profesional</w:t>
      </w:r>
      <w:r w:rsidRPr="00054DEE">
        <w:rPr>
          <w:lang w:val="ro-RO"/>
        </w:rPr>
        <w:t>.</w:t>
      </w:r>
    </w:p>
    <w:p w:rsidR="00886CFB" w:rsidRPr="00054DEE" w:rsidRDefault="00886CFB" w:rsidP="00906B0E">
      <w:pPr>
        <w:pStyle w:val="JuParaSub"/>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26</w:t>
      </w:r>
      <w:r w:rsidRPr="00054DEE">
        <w:rPr>
          <w:lang w:val="ro-RO"/>
        </w:rPr>
        <w:fldChar w:fldCharType="end"/>
      </w:r>
      <w:r w:rsidRPr="00054DEE">
        <w:rPr>
          <w:lang w:val="ro-RO"/>
        </w:rPr>
        <w:t>.</w:t>
      </w:r>
      <w:r>
        <w:rPr>
          <w:lang w:val="ro-RO"/>
        </w:rPr>
        <w:t xml:space="preserve"> În hotărârea de stabilire a jurisprudenţei nr. </w:t>
      </w:r>
      <w:r w:rsidRPr="00054DEE">
        <w:rPr>
          <w:lang w:val="ro-RO"/>
        </w:rPr>
        <w:t>2/2008</w:t>
      </w:r>
      <w:r>
        <w:rPr>
          <w:lang w:val="ro-RO"/>
        </w:rPr>
        <w:t xml:space="preserve"> </w:t>
      </w:r>
      <w:r w:rsidRPr="00054DEE">
        <w:rPr>
          <w:lang w:val="ro-RO"/>
        </w:rPr>
        <w:t>d</w:t>
      </w:r>
      <w:r>
        <w:rPr>
          <w:lang w:val="ro-RO"/>
        </w:rPr>
        <w:t xml:space="preserve">in </w:t>
      </w:r>
      <w:r w:rsidRPr="00054DEE">
        <w:rPr>
          <w:lang w:val="ro-RO"/>
        </w:rPr>
        <w:t>13</w:t>
      </w:r>
      <w:r>
        <w:rPr>
          <w:lang w:val="ro-RO"/>
        </w:rPr>
        <w:t xml:space="preserve"> februarie </w:t>
      </w:r>
      <w:r w:rsidRPr="00054DEE">
        <w:rPr>
          <w:lang w:val="ro-RO"/>
        </w:rPr>
        <w:t>2008</w:t>
      </w:r>
      <w:r>
        <w:rPr>
          <w:lang w:val="ro-RO"/>
        </w:rPr>
        <w:t xml:space="preserve"> </w:t>
      </w:r>
      <w:r w:rsidRPr="00054DEE">
        <w:rPr>
          <w:lang w:val="ro-RO"/>
        </w:rPr>
        <w:t>(</w:t>
      </w:r>
      <w:r>
        <w:rPr>
          <w:lang w:val="ro-RO"/>
        </w:rPr>
        <w:t xml:space="preserve">procedura internă nr. </w:t>
      </w:r>
      <w:r w:rsidRPr="00054DEE">
        <w:rPr>
          <w:lang w:val="ro-RO"/>
        </w:rPr>
        <w:t>894/07-9),</w:t>
      </w:r>
      <w:r>
        <w:rPr>
          <w:lang w:val="ro-RO"/>
        </w:rPr>
        <w:t xml:space="preserve"> Curtea Supremă a considerat:</w:t>
      </w:r>
    </w:p>
    <w:p w:rsidR="00886CFB" w:rsidRPr="00054DEE" w:rsidRDefault="00886CFB" w:rsidP="00906B0E">
      <w:pPr>
        <w:pStyle w:val="JuParaSub"/>
        <w:rPr>
          <w:lang w:val="ro-RO"/>
        </w:rPr>
      </w:pPr>
      <w:r w:rsidRPr="00054DEE">
        <w:rPr>
          <w:lang w:val="ro-RO"/>
        </w:rPr>
        <w:t>-</w:t>
      </w:r>
      <w:r>
        <w:rPr>
          <w:lang w:val="ro-RO"/>
        </w:rPr>
        <w:t xml:space="preserve"> că o instituţie bancară nu poate refuza în mod legitim să prezinte informaţiile legate de un cont bancar solicitate în cadrul unei proceduri penale decât pe fondul secretului bancar</w:t>
      </w:r>
      <w:r w:rsidRPr="00054DEE">
        <w:rPr>
          <w:lang w:val="ro-RO"/>
        </w:rPr>
        <w:t>;</w:t>
      </w:r>
    </w:p>
    <w:p w:rsidR="00886CFB" w:rsidRPr="00054DEE" w:rsidRDefault="00886CFB" w:rsidP="00906B0E">
      <w:pPr>
        <w:pStyle w:val="JuParaSub"/>
        <w:rPr>
          <w:lang w:val="ro-RO"/>
        </w:rPr>
      </w:pPr>
      <w:r w:rsidRPr="00054DEE">
        <w:rPr>
          <w:lang w:val="ro-RO"/>
        </w:rPr>
        <w:t>-</w:t>
      </w:r>
      <w:r>
        <w:rPr>
          <w:lang w:val="ro-RO"/>
        </w:rPr>
        <w:t xml:space="preserve"> că dacă refuzul nu este considerat legitim de </w:t>
      </w:r>
      <w:r w:rsidRPr="00054DEE">
        <w:rPr>
          <w:lang w:val="ro-RO"/>
        </w:rPr>
        <w:t>tribunal,</w:t>
      </w:r>
      <w:r>
        <w:rPr>
          <w:lang w:val="ro-RO"/>
        </w:rPr>
        <w:t xml:space="preserve"> acesta dispune prezentarea informaţiilor solicitate conform articolului </w:t>
      </w:r>
      <w:r w:rsidRPr="00054DEE">
        <w:rPr>
          <w:lang w:val="ro-RO"/>
        </w:rPr>
        <w:t>135</w:t>
      </w:r>
      <w:r>
        <w:rPr>
          <w:lang w:val="ro-RO"/>
        </w:rPr>
        <w:t xml:space="preserve"> </w:t>
      </w:r>
      <w:r w:rsidRPr="00054DEE">
        <w:rPr>
          <w:lang w:val="ro-RO"/>
        </w:rPr>
        <w:t>§</w:t>
      </w:r>
      <w:r>
        <w:rPr>
          <w:lang w:val="ro-RO"/>
        </w:rPr>
        <w:t xml:space="preserve"> </w:t>
      </w:r>
      <w:r w:rsidRPr="00054DEE">
        <w:rPr>
          <w:lang w:val="ro-RO"/>
        </w:rPr>
        <w:t>2</w:t>
      </w:r>
      <w:r>
        <w:rPr>
          <w:lang w:val="ro-RO"/>
        </w:rPr>
        <w:t xml:space="preserve"> </w:t>
      </w:r>
      <w:r w:rsidRPr="00054DEE">
        <w:rPr>
          <w:lang w:val="ro-RO"/>
        </w:rPr>
        <w:t>d</w:t>
      </w:r>
      <w:r>
        <w:rPr>
          <w:lang w:val="ro-RO"/>
        </w:rPr>
        <w:t xml:space="preserve">in </w:t>
      </w:r>
      <w:r w:rsidRPr="00054DEE">
        <w:rPr>
          <w:lang w:val="ro-RO"/>
        </w:rPr>
        <w:t>CPP</w:t>
      </w:r>
      <w:r>
        <w:rPr>
          <w:lang w:val="ro-RO"/>
        </w:rPr>
        <w:t xml:space="preserve"> </w:t>
      </w:r>
      <w:r w:rsidRPr="00054DEE">
        <w:rPr>
          <w:lang w:val="ro-RO"/>
        </w:rPr>
        <w:t>;</w:t>
      </w:r>
    </w:p>
    <w:p w:rsidR="00886CFB" w:rsidRPr="00054DEE" w:rsidRDefault="00886CFB" w:rsidP="00906B0E">
      <w:pPr>
        <w:pStyle w:val="JuParaSub"/>
        <w:rPr>
          <w:lang w:val="ro-RO"/>
        </w:rPr>
      </w:pPr>
      <w:r w:rsidRPr="00054DEE">
        <w:rPr>
          <w:lang w:val="ro-RO"/>
        </w:rPr>
        <w:t>-</w:t>
      </w:r>
      <w:r>
        <w:rPr>
          <w:lang w:val="ro-RO"/>
        </w:rPr>
        <w:t xml:space="preserve"> </w:t>
      </w:r>
      <w:r w:rsidRPr="003135D0">
        <w:rPr>
          <w:lang w:val="ro-RO"/>
        </w:rPr>
        <w:t>că</w:t>
      </w:r>
      <w:r>
        <w:rPr>
          <w:lang w:val="ro-RO"/>
        </w:rPr>
        <w:t xml:space="preserve"> </w:t>
      </w:r>
      <w:r w:rsidRPr="003135D0">
        <w:rPr>
          <w:lang w:val="ro-RO"/>
        </w:rPr>
        <w:t>dacă</w:t>
      </w:r>
      <w:r>
        <w:rPr>
          <w:lang w:val="ro-RO"/>
        </w:rPr>
        <w:t xml:space="preserve"> </w:t>
      </w:r>
      <w:r w:rsidRPr="003135D0">
        <w:rPr>
          <w:lang w:val="ro-RO"/>
        </w:rPr>
        <w:t>refuzu</w:t>
      </w:r>
      <w:r>
        <w:rPr>
          <w:lang w:val="ro-RO"/>
        </w:rPr>
        <w:t xml:space="preserve">l este considerat legitim, </w:t>
      </w:r>
      <w:r w:rsidRPr="003135D0">
        <w:rPr>
          <w:lang w:val="ro-RO"/>
        </w:rPr>
        <w:t>tribunal</w:t>
      </w:r>
      <w:r>
        <w:rPr>
          <w:lang w:val="ro-RO"/>
        </w:rPr>
        <w:t>ul imediat superior celui în care s-a produs incidentul decide în ceea ce priveşte ridicarea secretului</w:t>
      </w:r>
      <w:r w:rsidRPr="00054DEE">
        <w:rPr>
          <w:lang w:val="ro-RO"/>
        </w:rPr>
        <w:t>,</w:t>
      </w:r>
      <w:r>
        <w:rPr>
          <w:lang w:val="ro-RO"/>
        </w:rPr>
        <w:t xml:space="preserve"> conform articolului </w:t>
      </w:r>
      <w:r w:rsidRPr="00054DEE">
        <w:rPr>
          <w:lang w:val="ro-RO"/>
        </w:rPr>
        <w:t>135</w:t>
      </w:r>
      <w:r>
        <w:rPr>
          <w:lang w:val="ro-RO"/>
        </w:rPr>
        <w:t xml:space="preserve"> </w:t>
      </w:r>
      <w:r w:rsidRPr="00054DEE">
        <w:rPr>
          <w:lang w:val="ro-RO"/>
        </w:rPr>
        <w:t>§</w:t>
      </w:r>
      <w:r>
        <w:rPr>
          <w:lang w:val="ro-RO"/>
        </w:rPr>
        <w:t xml:space="preserve"> </w:t>
      </w:r>
      <w:r w:rsidRPr="00054DEE">
        <w:rPr>
          <w:lang w:val="ro-RO"/>
        </w:rPr>
        <w:t>3</w:t>
      </w:r>
      <w:r>
        <w:rPr>
          <w:lang w:val="ro-RO"/>
        </w:rPr>
        <w:t xml:space="preserve"> din CPP</w:t>
      </w:r>
      <w:r w:rsidRPr="00054DEE">
        <w:rPr>
          <w:lang w:val="ro-RO"/>
        </w:rPr>
        <w:t>.</w:t>
      </w:r>
    </w:p>
    <w:p w:rsidR="00886CFB" w:rsidRPr="00054DEE" w:rsidRDefault="00886CFB" w:rsidP="00906B0E">
      <w:pPr>
        <w:pStyle w:val="JuParaSub"/>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27</w:t>
      </w:r>
      <w:r w:rsidRPr="00054DEE">
        <w:rPr>
          <w:lang w:val="ro-RO"/>
        </w:rPr>
        <w:fldChar w:fldCharType="end"/>
      </w:r>
      <w:r w:rsidRPr="00054DEE">
        <w:rPr>
          <w:lang w:val="ro-RO"/>
        </w:rPr>
        <w:t>.</w:t>
      </w:r>
      <w:r>
        <w:rPr>
          <w:lang w:val="ro-RO"/>
        </w:rPr>
        <w:t xml:space="preserve"> Într-o hotărâre din data de </w:t>
      </w:r>
      <w:r w:rsidRPr="00054DEE">
        <w:rPr>
          <w:lang w:val="ro-RO"/>
        </w:rPr>
        <w:t>27</w:t>
      </w:r>
      <w:r>
        <w:rPr>
          <w:lang w:val="ro-RO"/>
        </w:rPr>
        <w:t xml:space="preserve"> </w:t>
      </w:r>
      <w:r w:rsidRPr="00054DEE">
        <w:rPr>
          <w:lang w:val="ro-RO"/>
        </w:rPr>
        <w:t>mai</w:t>
      </w:r>
      <w:r>
        <w:rPr>
          <w:lang w:val="ro-RO"/>
        </w:rPr>
        <w:t xml:space="preserve"> </w:t>
      </w:r>
      <w:r w:rsidRPr="00054DEE">
        <w:rPr>
          <w:lang w:val="ro-RO"/>
        </w:rPr>
        <w:t>2008</w:t>
      </w:r>
      <w:r>
        <w:rPr>
          <w:lang w:val="ro-RO"/>
        </w:rPr>
        <w:t xml:space="preserve"> </w:t>
      </w:r>
      <w:r w:rsidRPr="00054DEE">
        <w:rPr>
          <w:lang w:val="ro-RO"/>
        </w:rPr>
        <w:t>(</w:t>
      </w:r>
      <w:r>
        <w:rPr>
          <w:lang w:val="ro-RO"/>
        </w:rPr>
        <w:t xml:space="preserve">procedura internă nr. </w:t>
      </w:r>
      <w:r w:rsidRPr="00054DEE">
        <w:rPr>
          <w:lang w:val="ro-RO"/>
        </w:rPr>
        <w:t>07B4673),</w:t>
      </w:r>
      <w:r>
        <w:rPr>
          <w:lang w:val="ro-RO"/>
        </w:rPr>
        <w:t xml:space="preserve"> era vorba despre un dosar în care ridicarea secretului profesional era legată de un </w:t>
      </w:r>
      <w:r w:rsidRPr="00054DEE">
        <w:rPr>
          <w:lang w:val="ro-RO"/>
        </w:rPr>
        <w:t>avocat,</w:t>
      </w:r>
      <w:r>
        <w:rPr>
          <w:lang w:val="ro-RO"/>
        </w:rPr>
        <w:t xml:space="preserve"> Curtea Supremă a estimat că avizul Baroului prevăzut în articolul </w:t>
      </w:r>
      <w:r w:rsidRPr="00054DEE">
        <w:rPr>
          <w:lang w:val="ro-RO"/>
        </w:rPr>
        <w:t>135</w:t>
      </w:r>
      <w:r>
        <w:rPr>
          <w:lang w:val="ro-RO"/>
        </w:rPr>
        <w:t xml:space="preserve"> </w:t>
      </w:r>
      <w:r w:rsidRPr="00054DEE">
        <w:rPr>
          <w:lang w:val="ro-RO"/>
        </w:rPr>
        <w:t>§</w:t>
      </w:r>
      <w:r>
        <w:rPr>
          <w:lang w:val="ro-RO"/>
        </w:rPr>
        <w:t xml:space="preserve"> </w:t>
      </w:r>
      <w:r w:rsidRPr="00054DEE">
        <w:rPr>
          <w:lang w:val="ro-RO"/>
        </w:rPr>
        <w:t>5</w:t>
      </w:r>
      <w:r>
        <w:rPr>
          <w:lang w:val="ro-RO"/>
        </w:rPr>
        <w:t xml:space="preserve"> din CPP avea o valoare informativă ca orice expertiză şi putea astfel să fie apreciată liber de autoritatea judiciară</w:t>
      </w:r>
      <w:r w:rsidRPr="00054DEE">
        <w:rPr>
          <w:lang w:val="ro-RO"/>
        </w:rPr>
        <w:t>.</w:t>
      </w:r>
    </w:p>
    <w:p w:rsidR="00886CFB" w:rsidRPr="00054DEE" w:rsidRDefault="00886CFB" w:rsidP="00906B0E">
      <w:pPr>
        <w:pStyle w:val="JuParaSub"/>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28</w:t>
      </w:r>
      <w:r w:rsidRPr="00054DEE">
        <w:rPr>
          <w:lang w:val="ro-RO"/>
        </w:rPr>
        <w:fldChar w:fldCharType="end"/>
      </w:r>
      <w:r w:rsidRPr="00054DEE">
        <w:rPr>
          <w:lang w:val="ro-RO"/>
        </w:rPr>
        <w:t>.</w:t>
      </w:r>
      <w:r>
        <w:rPr>
          <w:lang w:val="ro-RO"/>
        </w:rPr>
        <w:t xml:space="preserve"> Într-o hotărâre din data de </w:t>
      </w:r>
      <w:r w:rsidRPr="00054DEE">
        <w:rPr>
          <w:lang w:val="ro-RO"/>
        </w:rPr>
        <w:t>9</w:t>
      </w:r>
      <w:r>
        <w:rPr>
          <w:lang w:val="ro-RO"/>
        </w:rPr>
        <w:t xml:space="preserve"> februarie </w:t>
      </w:r>
      <w:r w:rsidRPr="00054DEE">
        <w:rPr>
          <w:lang w:val="ro-RO"/>
        </w:rPr>
        <w:t>2011</w:t>
      </w:r>
      <w:r>
        <w:rPr>
          <w:lang w:val="ro-RO"/>
        </w:rPr>
        <w:t xml:space="preserve"> </w:t>
      </w:r>
      <w:r w:rsidRPr="00054DEE">
        <w:rPr>
          <w:lang w:val="ro-RO"/>
        </w:rPr>
        <w:t>(</w:t>
      </w:r>
      <w:r>
        <w:rPr>
          <w:lang w:val="ro-RO"/>
        </w:rPr>
        <w:t xml:space="preserve">procedura internă nr. </w:t>
      </w:r>
      <w:r w:rsidRPr="00054DEE">
        <w:rPr>
          <w:lang w:val="ro-RO"/>
        </w:rPr>
        <w:t>12153/09.8TDPRT-A.P1.S1),</w:t>
      </w:r>
      <w:r>
        <w:rPr>
          <w:lang w:val="ro-RO"/>
        </w:rPr>
        <w:t xml:space="preserve"> Curtea Supremă a tras următoarele concluzii</w:t>
      </w:r>
      <w:r w:rsidRPr="00054DEE">
        <w:rPr>
          <w:lang w:val="ro-RO"/>
        </w:rPr>
        <w:t>:</w:t>
      </w:r>
    </w:p>
    <w:p w:rsidR="00886CFB" w:rsidRPr="00054DEE" w:rsidRDefault="00886CFB" w:rsidP="00906B0E">
      <w:pPr>
        <w:pStyle w:val="JuParaSub"/>
        <w:rPr>
          <w:lang w:val="ro-RO"/>
        </w:rPr>
      </w:pPr>
      <w:r w:rsidRPr="00054DEE">
        <w:rPr>
          <w:lang w:val="ro-RO"/>
        </w:rPr>
        <w:t>-</w:t>
      </w:r>
      <w:r>
        <w:rPr>
          <w:lang w:val="ro-RO"/>
        </w:rPr>
        <w:t xml:space="preserve"> când este invocat secretul</w:t>
      </w:r>
      <w:r w:rsidRPr="00054DEE">
        <w:rPr>
          <w:lang w:val="ro-RO"/>
        </w:rPr>
        <w:t>,</w:t>
      </w:r>
      <w:r>
        <w:rPr>
          <w:lang w:val="ro-RO"/>
        </w:rPr>
        <w:t xml:space="preserve"> autoritatea judiciară trebuie să decidă dacă acesta este sau nu legitim</w:t>
      </w:r>
      <w:r w:rsidRPr="00054DEE">
        <w:rPr>
          <w:lang w:val="ro-RO"/>
        </w:rPr>
        <w:t>.</w:t>
      </w:r>
      <w:r>
        <w:rPr>
          <w:lang w:val="ro-RO"/>
        </w:rPr>
        <w:t xml:space="preserve"> Dacă ea concluzionează că scuza nu este legitimă</w:t>
      </w:r>
      <w:r w:rsidRPr="00054DEE">
        <w:rPr>
          <w:lang w:val="ro-RO"/>
        </w:rPr>
        <w:t>,</w:t>
      </w:r>
      <w:r>
        <w:rPr>
          <w:lang w:val="ro-RO"/>
        </w:rPr>
        <w:t xml:space="preserve"> ea dispune ca informaţia solicitată să fie dată</w:t>
      </w:r>
      <w:r w:rsidRPr="00054DEE">
        <w:rPr>
          <w:lang w:val="ro-RO"/>
        </w:rPr>
        <w:t>.</w:t>
      </w:r>
      <w:r>
        <w:rPr>
          <w:lang w:val="ro-RO"/>
        </w:rPr>
        <w:t xml:space="preserve"> Dacă estimează că scuza este legitimă</w:t>
      </w:r>
      <w:r w:rsidRPr="00054DEE">
        <w:rPr>
          <w:lang w:val="ro-RO"/>
        </w:rPr>
        <w:t>,</w:t>
      </w:r>
      <w:r>
        <w:rPr>
          <w:lang w:val="ro-RO"/>
        </w:rPr>
        <w:t xml:space="preserve"> fie acceptă păstrarea secretului</w:t>
      </w:r>
      <w:r w:rsidRPr="00054DEE">
        <w:rPr>
          <w:lang w:val="ro-RO"/>
        </w:rPr>
        <w:t>,</w:t>
      </w:r>
      <w:r>
        <w:rPr>
          <w:lang w:val="ro-RO"/>
        </w:rPr>
        <w:t xml:space="preserve"> ea înaintează </w:t>
      </w:r>
      <w:r>
        <w:rPr>
          <w:lang w:val="ro-RO"/>
        </w:rPr>
        <w:lastRenderedPageBreak/>
        <w:t>speţa tribunalului superior pentru ca acesta să decidă în ceea ce priveşte speţa respectivă</w:t>
      </w:r>
      <w:r w:rsidRPr="00054DEE">
        <w:rPr>
          <w:lang w:val="ro-RO"/>
        </w:rPr>
        <w:t>.</w:t>
      </w:r>
    </w:p>
    <w:p w:rsidR="00886CFB" w:rsidRPr="00054DEE" w:rsidRDefault="00886CFB" w:rsidP="00906B0E">
      <w:pPr>
        <w:pStyle w:val="JuParaSub"/>
        <w:rPr>
          <w:lang w:val="ro-RO"/>
        </w:rPr>
      </w:pPr>
      <w:r w:rsidRPr="00054DEE">
        <w:rPr>
          <w:lang w:val="ro-RO"/>
        </w:rPr>
        <w:t>-</w:t>
      </w:r>
      <w:r>
        <w:rPr>
          <w:lang w:val="ro-RO"/>
        </w:rPr>
        <w:t xml:space="preserve"> ridicarea secretului trebuie să fie de competenţa unui </w:t>
      </w:r>
      <w:r w:rsidRPr="00054DEE">
        <w:rPr>
          <w:lang w:val="ro-RO"/>
        </w:rPr>
        <w:t>tribunal</w:t>
      </w:r>
      <w:r>
        <w:rPr>
          <w:lang w:val="ro-RO"/>
        </w:rPr>
        <w:t xml:space="preserve"> </w:t>
      </w:r>
      <w:r w:rsidRPr="00054DEE">
        <w:rPr>
          <w:lang w:val="ro-RO"/>
        </w:rPr>
        <w:t>sup</w:t>
      </w:r>
      <w:r>
        <w:rPr>
          <w:lang w:val="ro-RO"/>
        </w:rPr>
        <w:t>e</w:t>
      </w:r>
      <w:r w:rsidRPr="00054DEE">
        <w:rPr>
          <w:lang w:val="ro-RO"/>
        </w:rPr>
        <w:t>ri</w:t>
      </w:r>
      <w:r>
        <w:rPr>
          <w:lang w:val="ro-RO"/>
        </w:rPr>
        <w:t>o</w:t>
      </w:r>
      <w:r w:rsidRPr="00054DEE">
        <w:rPr>
          <w:lang w:val="ro-RO"/>
        </w:rPr>
        <w:t>r,</w:t>
      </w:r>
      <w:r>
        <w:rPr>
          <w:lang w:val="ro-RO"/>
        </w:rPr>
        <w:t xml:space="preserve"> acesta este deci organul judiciar care decide incidentul de ridicare a secretului în situaţiile în care scuza este legitimă</w:t>
      </w:r>
      <w:r w:rsidRPr="00054DEE">
        <w:rPr>
          <w:lang w:val="ro-RO"/>
        </w:rPr>
        <w:t>.</w:t>
      </w:r>
    </w:p>
    <w:p w:rsidR="00886CFB" w:rsidRPr="00054DEE" w:rsidRDefault="00886CFB" w:rsidP="00906B0E">
      <w:pPr>
        <w:pStyle w:val="JuParaSub"/>
        <w:rPr>
          <w:lang w:val="ro-RO"/>
        </w:rPr>
      </w:pPr>
      <w:r w:rsidRPr="00054DEE">
        <w:rPr>
          <w:lang w:val="ro-RO"/>
        </w:rPr>
        <w:t>-</w:t>
      </w:r>
      <w:r>
        <w:rPr>
          <w:lang w:val="ro-RO"/>
        </w:rPr>
        <w:t xml:space="preserve"> având în vedere că este vorba despre o decizie pronunţată în primă instanţă</w:t>
      </w:r>
      <w:r w:rsidRPr="00054DEE">
        <w:rPr>
          <w:lang w:val="ro-RO"/>
        </w:rPr>
        <w:t>,</w:t>
      </w:r>
      <w:r>
        <w:rPr>
          <w:lang w:val="ro-RO"/>
        </w:rPr>
        <w:t xml:space="preserve"> ea poate fi atacată în cadrul unui recurs conform articolului </w:t>
      </w:r>
      <w:r w:rsidRPr="00054DEE">
        <w:rPr>
          <w:lang w:val="ro-RO"/>
        </w:rPr>
        <w:t>432</w:t>
      </w:r>
      <w:r>
        <w:rPr>
          <w:lang w:val="ro-RO"/>
        </w:rPr>
        <w:t xml:space="preserve"> </w:t>
      </w:r>
      <w:r w:rsidRPr="00054DEE">
        <w:rPr>
          <w:lang w:val="ro-RO"/>
        </w:rPr>
        <w:t>§</w:t>
      </w:r>
      <w:r>
        <w:rPr>
          <w:lang w:val="ro-RO"/>
        </w:rPr>
        <w:t xml:space="preserve"> </w:t>
      </w:r>
      <w:r w:rsidRPr="00054DEE">
        <w:rPr>
          <w:lang w:val="ro-RO"/>
        </w:rPr>
        <w:t>1</w:t>
      </w:r>
      <w:r>
        <w:rPr>
          <w:lang w:val="ro-RO"/>
        </w:rPr>
        <w:t xml:space="preserve"> </w:t>
      </w:r>
      <w:r w:rsidRPr="00054DEE">
        <w:rPr>
          <w:lang w:val="ro-RO"/>
        </w:rPr>
        <w:t>a)</w:t>
      </w:r>
      <w:r>
        <w:rPr>
          <w:lang w:val="ro-RO"/>
        </w:rPr>
        <w:t xml:space="preserve"> din CPP</w:t>
      </w:r>
      <w:r w:rsidRPr="00054DEE">
        <w:rPr>
          <w:lang w:val="ro-RO"/>
        </w:rPr>
        <w:t>.</w:t>
      </w:r>
    </w:p>
    <w:p w:rsidR="00886CFB" w:rsidRPr="00054DEE" w:rsidRDefault="00886CFB" w:rsidP="00906B0E">
      <w:pPr>
        <w:pStyle w:val="ECHRHeading4"/>
        <w:rPr>
          <w:lang w:val="ro-RO"/>
        </w:rPr>
      </w:pPr>
      <w:r w:rsidRPr="00054DEE">
        <w:rPr>
          <w:lang w:val="ro-RO"/>
        </w:rPr>
        <w:t>c)</w:t>
      </w:r>
      <w:r>
        <w:rPr>
          <w:lang w:val="ro-RO"/>
        </w:rPr>
        <w:t xml:space="preserve"> Jurisprudenţa curţilor de apel</w:t>
      </w:r>
    </w:p>
    <w:p w:rsidR="00886CFB" w:rsidRPr="00054DEE" w:rsidRDefault="00886CFB" w:rsidP="00906B0E">
      <w:pPr>
        <w:pStyle w:val="JuParaSub"/>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29</w:t>
      </w:r>
      <w:r w:rsidRPr="00054DEE">
        <w:rPr>
          <w:lang w:val="ro-RO"/>
        </w:rPr>
        <w:fldChar w:fldCharType="end"/>
      </w:r>
      <w:r w:rsidRPr="00054DEE">
        <w:rPr>
          <w:lang w:val="ro-RO"/>
        </w:rPr>
        <w:t>.</w:t>
      </w:r>
      <w:r>
        <w:rPr>
          <w:lang w:val="ro-RO"/>
        </w:rPr>
        <w:t xml:space="preserve"> Într-o hotărâre din data de </w:t>
      </w:r>
      <w:r w:rsidRPr="00054DEE">
        <w:rPr>
          <w:lang w:val="ro-RO"/>
        </w:rPr>
        <w:t>28</w:t>
      </w:r>
      <w:r>
        <w:rPr>
          <w:lang w:val="ro-RO"/>
        </w:rPr>
        <w:t xml:space="preserve"> noiembrie </w:t>
      </w:r>
      <w:r w:rsidRPr="00054DEE">
        <w:rPr>
          <w:lang w:val="ro-RO"/>
        </w:rPr>
        <w:t>2007</w:t>
      </w:r>
      <w:r>
        <w:rPr>
          <w:lang w:val="ro-RO"/>
        </w:rPr>
        <w:t xml:space="preserve"> </w:t>
      </w:r>
      <w:r w:rsidRPr="00054DEE">
        <w:rPr>
          <w:lang w:val="ro-RO"/>
        </w:rPr>
        <w:t>(</w:t>
      </w:r>
      <w:r>
        <w:rPr>
          <w:lang w:val="ro-RO"/>
        </w:rPr>
        <w:t xml:space="preserve">procedura internă nr. </w:t>
      </w:r>
      <w:r w:rsidRPr="00054DEE">
        <w:rPr>
          <w:lang w:val="ro-RO"/>
        </w:rPr>
        <w:t>645352)</w:t>
      </w:r>
      <w:r>
        <w:rPr>
          <w:lang w:val="ro-RO"/>
        </w:rPr>
        <w:t xml:space="preserve"> privind ridicarea secretului profesional al unui </w:t>
      </w:r>
      <w:r w:rsidRPr="00054DEE">
        <w:rPr>
          <w:lang w:val="ro-RO"/>
        </w:rPr>
        <w:t>avocat</w:t>
      </w:r>
      <w:r>
        <w:rPr>
          <w:lang w:val="ro-RO"/>
        </w:rPr>
        <w:t xml:space="preserve"> urmărit în cadrul unei proceduri penale</w:t>
      </w:r>
      <w:r w:rsidRPr="00054DEE">
        <w:rPr>
          <w:lang w:val="ro-RO"/>
        </w:rPr>
        <w:t>,</w:t>
      </w:r>
      <w:r>
        <w:rPr>
          <w:lang w:val="ro-RO"/>
        </w:rPr>
        <w:t xml:space="preserve"> curtea de apel din </w:t>
      </w:r>
      <w:r w:rsidRPr="00054DEE">
        <w:rPr>
          <w:lang w:val="ro-RO"/>
        </w:rPr>
        <w:t>Porto</w:t>
      </w:r>
      <w:r>
        <w:rPr>
          <w:lang w:val="ro-RO"/>
        </w:rPr>
        <w:t xml:space="preserve"> a considerat că articolul </w:t>
      </w:r>
      <w:r w:rsidRPr="00054DEE">
        <w:rPr>
          <w:lang w:val="ro-RO"/>
        </w:rPr>
        <w:t>135</w:t>
      </w:r>
      <w:r>
        <w:rPr>
          <w:lang w:val="ro-RO"/>
        </w:rPr>
        <w:t xml:space="preserve"> nu se aplică decât persoanelor chemate să depună mărturie şi nu acuzaţilor</w:t>
      </w:r>
      <w:r w:rsidRPr="00054DEE">
        <w:rPr>
          <w:lang w:val="ro-RO"/>
        </w:rPr>
        <w:t>.</w:t>
      </w:r>
    </w:p>
    <w:p w:rsidR="00886CFB" w:rsidRPr="00054DEE" w:rsidRDefault="00886CFB" w:rsidP="00906B0E">
      <w:pPr>
        <w:pStyle w:val="JuParaSub"/>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30</w:t>
      </w:r>
      <w:r w:rsidRPr="00054DEE">
        <w:rPr>
          <w:lang w:val="ro-RO"/>
        </w:rPr>
        <w:fldChar w:fldCharType="end"/>
      </w:r>
      <w:r w:rsidRPr="00054DEE">
        <w:rPr>
          <w:lang w:val="ro-RO"/>
        </w:rPr>
        <w:t>.</w:t>
      </w:r>
      <w:r>
        <w:rPr>
          <w:lang w:val="ro-RO"/>
        </w:rPr>
        <w:t xml:space="preserve"> Într-o hotărâre din data de </w:t>
      </w:r>
      <w:r w:rsidRPr="00054DEE">
        <w:rPr>
          <w:lang w:val="ro-RO"/>
        </w:rPr>
        <w:t>9</w:t>
      </w:r>
      <w:r>
        <w:rPr>
          <w:lang w:val="ro-RO"/>
        </w:rPr>
        <w:t xml:space="preserve"> iulie </w:t>
      </w:r>
      <w:r w:rsidRPr="00054DEE">
        <w:rPr>
          <w:lang w:val="ro-RO"/>
        </w:rPr>
        <w:t>2008</w:t>
      </w:r>
      <w:r>
        <w:rPr>
          <w:lang w:val="ro-RO"/>
        </w:rPr>
        <w:t xml:space="preserve"> </w:t>
      </w:r>
      <w:r w:rsidRPr="00054DEE">
        <w:rPr>
          <w:lang w:val="ro-RO"/>
        </w:rPr>
        <w:t>(</w:t>
      </w:r>
      <w:r>
        <w:rPr>
          <w:lang w:val="ro-RO"/>
        </w:rPr>
        <w:t xml:space="preserve">procedura internă nr. </w:t>
      </w:r>
      <w:r w:rsidRPr="00054DEE">
        <w:rPr>
          <w:lang w:val="ro-RO"/>
        </w:rPr>
        <w:t>4870/08),</w:t>
      </w:r>
      <w:r>
        <w:rPr>
          <w:lang w:val="ro-RO"/>
        </w:rPr>
        <w:t xml:space="preserve"> Curtea de Apel din Lisabona a reamintit că articolul </w:t>
      </w:r>
      <w:r w:rsidRPr="00054DEE">
        <w:rPr>
          <w:lang w:val="ro-RO"/>
        </w:rPr>
        <w:t>135</w:t>
      </w:r>
      <w:r>
        <w:rPr>
          <w:lang w:val="ro-RO"/>
        </w:rPr>
        <w:t xml:space="preserve"> din CPP nu se aplică avocatului acuzat în cadrul unei proceduri penale din motivele următoare</w:t>
      </w:r>
      <w:r w:rsidRPr="00054DEE">
        <w:rPr>
          <w:lang w:val="ro-RO"/>
        </w:rPr>
        <w:t>:</w:t>
      </w:r>
    </w:p>
    <w:p w:rsidR="00886CFB" w:rsidRPr="00054DEE" w:rsidRDefault="00886CFB" w:rsidP="00906B0E">
      <w:pPr>
        <w:pStyle w:val="JuParaSub"/>
        <w:rPr>
          <w:lang w:val="ro-RO"/>
        </w:rPr>
      </w:pPr>
      <w:r w:rsidRPr="00054DEE">
        <w:rPr>
          <w:lang w:val="ro-RO"/>
        </w:rPr>
        <w:t>-</w:t>
      </w:r>
      <w:r>
        <w:rPr>
          <w:lang w:val="ro-RO"/>
        </w:rPr>
        <w:t xml:space="preserve">    la fel ca orice alt acuzat</w:t>
      </w:r>
      <w:r w:rsidRPr="00054DEE">
        <w:rPr>
          <w:lang w:val="ro-RO"/>
        </w:rPr>
        <w:t>,</w:t>
      </w:r>
      <w:r>
        <w:rPr>
          <w:lang w:val="ro-RO"/>
        </w:rPr>
        <w:t xml:space="preserve"> el trebuie să păstreze tăcerea</w:t>
      </w:r>
      <w:r w:rsidRPr="00054DEE">
        <w:rPr>
          <w:lang w:val="ro-RO"/>
        </w:rPr>
        <w:t>;</w:t>
      </w:r>
    </w:p>
    <w:p w:rsidR="00886CFB" w:rsidRPr="00054DEE" w:rsidRDefault="00886CFB" w:rsidP="00906B0E">
      <w:pPr>
        <w:pStyle w:val="JuParaSub"/>
        <w:rPr>
          <w:lang w:val="ro-RO"/>
        </w:rPr>
      </w:pPr>
      <w:r w:rsidRPr="00054DEE">
        <w:rPr>
          <w:lang w:val="ro-RO"/>
        </w:rPr>
        <w:t>-</w:t>
      </w:r>
      <w:r>
        <w:rPr>
          <w:lang w:val="ro-RO"/>
        </w:rPr>
        <w:t xml:space="preserve"> dacă doreşte să divulge informaţiile acoperite de secretul profesional</w:t>
      </w:r>
      <w:r w:rsidRPr="00054DEE">
        <w:rPr>
          <w:lang w:val="ro-RO"/>
        </w:rPr>
        <w:t>,</w:t>
      </w:r>
      <w:r>
        <w:rPr>
          <w:lang w:val="ro-RO"/>
        </w:rPr>
        <w:t xml:space="preserve"> el trebuie să sesizeze Baroul pentru a fi autorizat să o facă</w:t>
      </w:r>
      <w:r w:rsidRPr="00054DEE">
        <w:rPr>
          <w:lang w:val="ro-RO"/>
        </w:rPr>
        <w:t>,</w:t>
      </w:r>
      <w:r>
        <w:rPr>
          <w:lang w:val="ro-RO"/>
        </w:rPr>
        <w:t xml:space="preserve"> conform prevederilor articolului </w:t>
      </w:r>
      <w:r w:rsidRPr="00054DEE">
        <w:rPr>
          <w:lang w:val="ro-RO"/>
        </w:rPr>
        <w:t>87</w:t>
      </w:r>
      <w:r>
        <w:rPr>
          <w:lang w:val="ro-RO"/>
        </w:rPr>
        <w:t xml:space="preserve"> </w:t>
      </w:r>
      <w:r w:rsidRPr="00054DEE">
        <w:rPr>
          <w:lang w:val="ro-RO"/>
        </w:rPr>
        <w:t>§</w:t>
      </w:r>
      <w:r>
        <w:rPr>
          <w:lang w:val="ro-RO"/>
        </w:rPr>
        <w:t xml:space="preserve"> </w:t>
      </w:r>
      <w:r w:rsidRPr="00054DEE">
        <w:rPr>
          <w:lang w:val="ro-RO"/>
        </w:rPr>
        <w:t>4</w:t>
      </w:r>
      <w:r>
        <w:rPr>
          <w:lang w:val="ro-RO"/>
        </w:rPr>
        <w:t xml:space="preserve"> </w:t>
      </w:r>
      <w:r w:rsidRPr="00054DEE">
        <w:rPr>
          <w:lang w:val="ro-RO"/>
        </w:rPr>
        <w:t>d</w:t>
      </w:r>
      <w:r>
        <w:rPr>
          <w:lang w:val="ro-RO"/>
        </w:rPr>
        <w:t>in Statutul Asociaţiei Barourilor</w:t>
      </w:r>
      <w:r w:rsidRPr="00054DEE">
        <w:rPr>
          <w:lang w:val="ro-RO"/>
        </w:rPr>
        <w:t>.</w:t>
      </w:r>
    </w:p>
    <w:p w:rsidR="00886CFB" w:rsidRPr="00054DEE" w:rsidRDefault="00886CFB" w:rsidP="00906B0E">
      <w:pPr>
        <w:pStyle w:val="JuParaSub"/>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31</w:t>
      </w:r>
      <w:r w:rsidRPr="00054DEE">
        <w:rPr>
          <w:lang w:val="ro-RO"/>
        </w:rPr>
        <w:fldChar w:fldCharType="end"/>
      </w:r>
      <w:r w:rsidRPr="00054DEE">
        <w:rPr>
          <w:lang w:val="ro-RO"/>
        </w:rPr>
        <w:t>.</w:t>
      </w:r>
      <w:r>
        <w:rPr>
          <w:lang w:val="ro-RO"/>
        </w:rPr>
        <w:t xml:space="preserve"> Într-o hotărâre din data de </w:t>
      </w:r>
      <w:r w:rsidRPr="00054DEE">
        <w:rPr>
          <w:lang w:val="ro-RO"/>
        </w:rPr>
        <w:t>29</w:t>
      </w:r>
      <w:r>
        <w:rPr>
          <w:lang w:val="ro-RO"/>
        </w:rPr>
        <w:t xml:space="preserve"> septembrie </w:t>
      </w:r>
      <w:r w:rsidRPr="00054DEE">
        <w:rPr>
          <w:lang w:val="ro-RO"/>
        </w:rPr>
        <w:t>2008,</w:t>
      </w:r>
      <w:r>
        <w:rPr>
          <w:lang w:val="ro-RO"/>
        </w:rPr>
        <w:t xml:space="preserve"> Curtea de Apel din Lisabona a considerat că tribunalul care a decis incidentul </w:t>
      </w:r>
      <w:r w:rsidRPr="00054DEE">
        <w:rPr>
          <w:lang w:val="ro-RO"/>
        </w:rPr>
        <w:t>de</w:t>
      </w:r>
      <w:r>
        <w:rPr>
          <w:lang w:val="ro-RO"/>
        </w:rPr>
        <w:t xml:space="preserve"> ridicare a secretului profesional nu era obligat de avizul Baroului în aplicarea articolului </w:t>
      </w:r>
      <w:r w:rsidRPr="00054DEE">
        <w:rPr>
          <w:lang w:val="ro-RO"/>
        </w:rPr>
        <w:t>135</w:t>
      </w:r>
      <w:r>
        <w:rPr>
          <w:lang w:val="ro-RO"/>
        </w:rPr>
        <w:t xml:space="preserve"> </w:t>
      </w:r>
      <w:r w:rsidRPr="00054DEE">
        <w:rPr>
          <w:lang w:val="ro-RO"/>
        </w:rPr>
        <w:t>§</w:t>
      </w:r>
      <w:r>
        <w:rPr>
          <w:lang w:val="ro-RO"/>
        </w:rPr>
        <w:t xml:space="preserve"> </w:t>
      </w:r>
      <w:r w:rsidRPr="00054DEE">
        <w:rPr>
          <w:lang w:val="ro-RO"/>
        </w:rPr>
        <w:t>4</w:t>
      </w:r>
      <w:r>
        <w:rPr>
          <w:lang w:val="ro-RO"/>
        </w:rPr>
        <w:t xml:space="preserve"> din CPP</w:t>
      </w:r>
      <w:r w:rsidRPr="00054DEE">
        <w:rPr>
          <w:lang w:val="ro-RO"/>
        </w:rPr>
        <w:t>.</w:t>
      </w:r>
    </w:p>
    <w:p w:rsidR="00886CFB" w:rsidRPr="00054DEE" w:rsidRDefault="00886CFB" w:rsidP="00906B0E">
      <w:pPr>
        <w:pStyle w:val="JuParaSub"/>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32</w:t>
      </w:r>
      <w:r w:rsidRPr="00054DEE">
        <w:rPr>
          <w:lang w:val="ro-RO"/>
        </w:rPr>
        <w:fldChar w:fldCharType="end"/>
      </w:r>
      <w:r w:rsidRPr="00054DEE">
        <w:rPr>
          <w:lang w:val="ro-RO"/>
        </w:rPr>
        <w:t>.</w:t>
      </w:r>
      <w:r>
        <w:rPr>
          <w:lang w:val="ro-RO"/>
        </w:rPr>
        <w:t xml:space="preserve"> Într-o hotărâre din data de </w:t>
      </w:r>
      <w:r w:rsidRPr="00054DEE">
        <w:rPr>
          <w:lang w:val="ro-RO"/>
        </w:rPr>
        <w:t>26</w:t>
      </w:r>
      <w:r>
        <w:rPr>
          <w:lang w:val="ro-RO"/>
        </w:rPr>
        <w:t xml:space="preserve"> noiembrie </w:t>
      </w:r>
      <w:r w:rsidRPr="00054DEE">
        <w:rPr>
          <w:lang w:val="ro-RO"/>
        </w:rPr>
        <w:t>2009</w:t>
      </w:r>
      <w:r>
        <w:rPr>
          <w:lang w:val="ro-RO"/>
        </w:rPr>
        <w:t xml:space="preserve"> </w:t>
      </w:r>
      <w:r w:rsidRPr="00054DEE">
        <w:rPr>
          <w:lang w:val="ro-RO"/>
        </w:rPr>
        <w:t>(</w:t>
      </w:r>
      <w:r>
        <w:rPr>
          <w:lang w:val="ro-RO"/>
        </w:rPr>
        <w:t>procedura internă nr.</w:t>
      </w:r>
      <w:r>
        <w:rPr>
          <w:vertAlign w:val="superscript"/>
          <w:lang w:val="ro-RO"/>
        </w:rPr>
        <w:t xml:space="preserve"> </w:t>
      </w:r>
      <w:r w:rsidRPr="00054DEE">
        <w:rPr>
          <w:lang w:val="ro-RO"/>
        </w:rPr>
        <w:t>907/07.7TBBCL.G1),</w:t>
      </w:r>
      <w:r>
        <w:rPr>
          <w:lang w:val="ro-RO"/>
        </w:rPr>
        <w:t xml:space="preserve"> Curtea de Apel din </w:t>
      </w:r>
      <w:r w:rsidRPr="00054DEE">
        <w:rPr>
          <w:lang w:val="ro-RO"/>
        </w:rPr>
        <w:t>Guimarães</w:t>
      </w:r>
      <w:r>
        <w:rPr>
          <w:lang w:val="ro-RO"/>
        </w:rPr>
        <w:t xml:space="preserve"> a expus următoarele:</w:t>
      </w:r>
    </w:p>
    <w:p w:rsidR="00886CFB" w:rsidRPr="00054DEE" w:rsidRDefault="00886CFB" w:rsidP="00906B0E">
      <w:pPr>
        <w:pStyle w:val="JuParaSub"/>
        <w:rPr>
          <w:lang w:val="ro-RO"/>
        </w:rPr>
      </w:pPr>
      <w:r w:rsidRPr="00054DEE">
        <w:rPr>
          <w:lang w:val="ro-RO"/>
        </w:rPr>
        <w:t>-</w:t>
      </w:r>
      <w:r>
        <w:rPr>
          <w:lang w:val="ro-RO"/>
        </w:rPr>
        <w:t xml:space="preserve"> dacă se constată că refuzul unei instituţii bancare de a prezenta informaţiile solicitate de un </w:t>
      </w:r>
      <w:r w:rsidRPr="00054DEE">
        <w:rPr>
          <w:lang w:val="ro-RO"/>
        </w:rPr>
        <w:t>tribunal</w:t>
      </w:r>
      <w:r>
        <w:rPr>
          <w:lang w:val="ro-RO"/>
        </w:rPr>
        <w:t xml:space="preserve"> </w:t>
      </w:r>
      <w:r w:rsidRPr="00054DEE">
        <w:rPr>
          <w:lang w:val="ro-RO"/>
        </w:rPr>
        <w:t>est</w:t>
      </w:r>
      <w:r>
        <w:rPr>
          <w:lang w:val="ro-RO"/>
        </w:rPr>
        <w:t xml:space="preserve">e </w:t>
      </w:r>
      <w:r w:rsidRPr="00054DEE">
        <w:rPr>
          <w:lang w:val="ro-RO"/>
        </w:rPr>
        <w:t>l</w:t>
      </w:r>
      <w:r>
        <w:rPr>
          <w:lang w:val="ro-RO"/>
        </w:rPr>
        <w:t>egitim</w:t>
      </w:r>
      <w:r w:rsidRPr="00054DEE">
        <w:rPr>
          <w:lang w:val="ro-RO"/>
        </w:rPr>
        <w:t>,</w:t>
      </w:r>
      <w:r>
        <w:rPr>
          <w:lang w:val="ro-RO"/>
        </w:rPr>
        <w:t xml:space="preserve"> deoarece acestea sunt acoperite de secretul bancar</w:t>
      </w:r>
      <w:r w:rsidRPr="00054DEE">
        <w:rPr>
          <w:lang w:val="ro-RO"/>
        </w:rPr>
        <w:t>,</w:t>
      </w:r>
      <w:r>
        <w:rPr>
          <w:lang w:val="ro-RO"/>
        </w:rPr>
        <w:t xml:space="preserve"> numai ridicarea acestuia o poate obliga să o facă</w:t>
      </w:r>
      <w:r w:rsidRPr="00054DEE">
        <w:rPr>
          <w:lang w:val="ro-RO"/>
        </w:rPr>
        <w:t>.</w:t>
      </w:r>
    </w:p>
    <w:p w:rsidR="00886CFB" w:rsidRPr="00054DEE" w:rsidRDefault="00886CFB" w:rsidP="00906B0E">
      <w:pPr>
        <w:pStyle w:val="JuParaSub"/>
        <w:rPr>
          <w:lang w:val="ro-RO"/>
        </w:rPr>
      </w:pPr>
      <w:r>
        <w:rPr>
          <w:lang w:val="ro-RO"/>
        </w:rPr>
        <w:t xml:space="preserve">- ridicarea secretului profesional impune o ponderare a intereselor aflate în joc de către </w:t>
      </w:r>
      <w:r w:rsidRPr="00054DEE">
        <w:rPr>
          <w:lang w:val="ro-RO"/>
        </w:rPr>
        <w:t>un</w:t>
      </w:r>
      <w:r>
        <w:rPr>
          <w:lang w:val="ro-RO"/>
        </w:rPr>
        <w:t xml:space="preserve"> </w:t>
      </w:r>
      <w:r w:rsidRPr="00054DEE">
        <w:rPr>
          <w:lang w:val="ro-RO"/>
        </w:rPr>
        <w:t>tribunal</w:t>
      </w:r>
      <w:r>
        <w:rPr>
          <w:lang w:val="ro-RO"/>
        </w:rPr>
        <w:t xml:space="preserve"> superior înainte de a fi cerută de judecătorul de primă instanţă</w:t>
      </w:r>
      <w:r w:rsidRPr="00054DEE">
        <w:rPr>
          <w:lang w:val="ro-RO"/>
        </w:rPr>
        <w:t>,</w:t>
      </w:r>
      <w:r>
        <w:rPr>
          <w:lang w:val="ro-RO"/>
        </w:rPr>
        <w:t xml:space="preserve"> din oficiu sau la cerere</w:t>
      </w:r>
      <w:r w:rsidRPr="00054DEE">
        <w:rPr>
          <w:lang w:val="ro-RO"/>
        </w:rPr>
        <w:t>.</w:t>
      </w:r>
    </w:p>
    <w:p w:rsidR="00886CFB" w:rsidRPr="00054DEE" w:rsidRDefault="00886CFB" w:rsidP="00906B0E">
      <w:pPr>
        <w:pStyle w:val="JuParaSub"/>
        <w:rPr>
          <w:lang w:val="ro-RO"/>
        </w:rPr>
      </w:pPr>
      <w:r w:rsidRPr="00054DEE">
        <w:rPr>
          <w:lang w:val="ro-RO"/>
        </w:rPr>
        <w:t>-</w:t>
      </w:r>
      <w:r>
        <w:rPr>
          <w:lang w:val="ro-RO"/>
        </w:rPr>
        <w:t xml:space="preserve"> decizia tribunalului de primă instanţă care, după ce concluzionat legitimitatea refuzului</w:t>
      </w:r>
      <w:r w:rsidRPr="00054DEE">
        <w:rPr>
          <w:lang w:val="ro-RO"/>
        </w:rPr>
        <w:t>,</w:t>
      </w:r>
      <w:r>
        <w:rPr>
          <w:lang w:val="ro-RO"/>
        </w:rPr>
        <w:t xml:space="preserve"> estimează că obligaţia păstrării secretului profesional trebuie întreruptă şi dispune prezentarea unei informaţii unei instituţii bancare este nulă pe motivul că încalcă regulile competenţei</w:t>
      </w:r>
      <w:r w:rsidRPr="00054DEE">
        <w:rPr>
          <w:lang w:val="ro-RO"/>
        </w:rPr>
        <w:t>.</w:t>
      </w:r>
    </w:p>
    <w:p w:rsidR="00886CFB" w:rsidRPr="00054DEE" w:rsidRDefault="00886CFB" w:rsidP="00601A48">
      <w:pPr>
        <w:pStyle w:val="ECHRTitle1"/>
        <w:ind w:firstLine="284"/>
        <w:rPr>
          <w:lang w:val="ro-RO"/>
        </w:rPr>
      </w:pPr>
      <w:r>
        <w:rPr>
          <w:lang w:val="ro-RO"/>
        </w:rPr>
        <w:lastRenderedPageBreak/>
        <w:t>ÎN DREPT</w:t>
      </w:r>
    </w:p>
    <w:p w:rsidR="00886CFB" w:rsidRPr="00761FCB" w:rsidRDefault="00886CFB" w:rsidP="00906B0E">
      <w:pPr>
        <w:pStyle w:val="ECHRHeading1"/>
        <w:tabs>
          <w:tab w:val="clear" w:pos="357"/>
          <w:tab w:val="left" w:pos="0"/>
        </w:tabs>
        <w:ind w:left="0" w:firstLine="0"/>
        <w:rPr>
          <w:b/>
          <w:lang w:val="ro-RO"/>
        </w:rPr>
      </w:pPr>
      <w:r w:rsidRPr="00761FCB">
        <w:rPr>
          <w:b/>
          <w:lang w:val="ro-RO"/>
        </w:rPr>
        <w:t>I.</w:t>
      </w:r>
      <w:r>
        <w:rPr>
          <w:b/>
          <w:lang w:val="ro-RO"/>
        </w:rPr>
        <w:t xml:space="preserve"> </w:t>
      </w:r>
      <w:r w:rsidRPr="00761FCB">
        <w:rPr>
          <w:b/>
          <w:lang w:val="ro-RO"/>
        </w:rPr>
        <w:t>ÎN</w:t>
      </w:r>
      <w:r>
        <w:rPr>
          <w:b/>
          <w:lang w:val="ro-RO"/>
        </w:rPr>
        <w:t xml:space="preserve"> </w:t>
      </w:r>
      <w:r w:rsidRPr="00761FCB">
        <w:rPr>
          <w:b/>
          <w:lang w:val="ro-RO"/>
        </w:rPr>
        <w:t>CEEA</w:t>
      </w:r>
      <w:r>
        <w:rPr>
          <w:b/>
          <w:lang w:val="ro-RO"/>
        </w:rPr>
        <w:t xml:space="preserve"> </w:t>
      </w:r>
      <w:r w:rsidRPr="00761FCB">
        <w:rPr>
          <w:b/>
          <w:lang w:val="ro-RO"/>
        </w:rPr>
        <w:t>CE</w:t>
      </w:r>
      <w:r>
        <w:rPr>
          <w:b/>
          <w:lang w:val="ro-RO"/>
        </w:rPr>
        <w:t xml:space="preserve"> </w:t>
      </w:r>
      <w:r w:rsidRPr="00761FCB">
        <w:rPr>
          <w:b/>
          <w:lang w:val="ro-RO"/>
        </w:rPr>
        <w:t>PRIVEŞTE</w:t>
      </w:r>
      <w:r>
        <w:rPr>
          <w:b/>
          <w:lang w:val="ro-RO"/>
        </w:rPr>
        <w:t xml:space="preserve"> </w:t>
      </w:r>
      <w:r w:rsidRPr="00761FCB">
        <w:rPr>
          <w:b/>
          <w:lang w:val="ro-RO"/>
        </w:rPr>
        <w:t>PRETINSA</w:t>
      </w:r>
      <w:r>
        <w:rPr>
          <w:b/>
          <w:lang w:val="ro-RO"/>
        </w:rPr>
        <w:t xml:space="preserve"> </w:t>
      </w:r>
      <w:r w:rsidRPr="00761FCB">
        <w:rPr>
          <w:b/>
          <w:lang w:val="ro-RO"/>
        </w:rPr>
        <w:t>ÎNCĂLCARE</w:t>
      </w:r>
      <w:r>
        <w:rPr>
          <w:b/>
          <w:lang w:val="ro-RO"/>
        </w:rPr>
        <w:t xml:space="preserve"> </w:t>
      </w:r>
      <w:r w:rsidRPr="00761FCB">
        <w:rPr>
          <w:b/>
          <w:lang w:val="ro-RO"/>
        </w:rPr>
        <w:t>A</w:t>
      </w:r>
      <w:r>
        <w:rPr>
          <w:b/>
          <w:lang w:val="ro-RO"/>
        </w:rPr>
        <w:t xml:space="preserve"> </w:t>
      </w:r>
      <w:r w:rsidRPr="00761FCB">
        <w:rPr>
          <w:b/>
          <w:lang w:val="ro-RO"/>
        </w:rPr>
        <w:t>ARTICOLELOR</w:t>
      </w:r>
      <w:r>
        <w:rPr>
          <w:b/>
          <w:lang w:val="ro-RO"/>
        </w:rPr>
        <w:t xml:space="preserve"> </w:t>
      </w:r>
      <w:r w:rsidRPr="00761FCB">
        <w:rPr>
          <w:b/>
          <w:lang w:val="ro-RO"/>
        </w:rPr>
        <w:t>6,</w:t>
      </w:r>
      <w:r>
        <w:rPr>
          <w:b/>
          <w:lang w:val="ro-RO"/>
        </w:rPr>
        <w:t xml:space="preserve"> </w:t>
      </w:r>
      <w:r w:rsidRPr="00761FCB">
        <w:rPr>
          <w:b/>
          <w:lang w:val="ro-RO"/>
        </w:rPr>
        <w:t>8</w:t>
      </w:r>
      <w:r>
        <w:rPr>
          <w:b/>
          <w:lang w:val="ro-RO"/>
        </w:rPr>
        <w:t xml:space="preserve"> </w:t>
      </w:r>
      <w:r w:rsidRPr="00761FCB">
        <w:rPr>
          <w:b/>
          <w:lang w:val="ro-RO"/>
        </w:rPr>
        <w:t>ŞI</w:t>
      </w:r>
      <w:r>
        <w:rPr>
          <w:b/>
          <w:lang w:val="ro-RO"/>
        </w:rPr>
        <w:t xml:space="preserve"> </w:t>
      </w:r>
      <w:r w:rsidRPr="00761FCB">
        <w:rPr>
          <w:b/>
          <w:lang w:val="ro-RO"/>
        </w:rPr>
        <w:t>13</w:t>
      </w:r>
      <w:r>
        <w:rPr>
          <w:b/>
          <w:lang w:val="ro-RO"/>
        </w:rPr>
        <w:t xml:space="preserve"> </w:t>
      </w:r>
      <w:r w:rsidRPr="00761FCB">
        <w:rPr>
          <w:b/>
          <w:lang w:val="ro-RO"/>
        </w:rPr>
        <w:t>DIN</w:t>
      </w:r>
      <w:r>
        <w:rPr>
          <w:b/>
          <w:lang w:val="ro-RO"/>
        </w:rPr>
        <w:t xml:space="preserve"> </w:t>
      </w:r>
      <w:r w:rsidRPr="00761FCB">
        <w:rPr>
          <w:b/>
          <w:lang w:val="ro-RO"/>
        </w:rPr>
        <w:t>CONVENŢIE</w:t>
      </w:r>
    </w:p>
    <w:p w:rsidR="00886CFB" w:rsidRPr="00054DEE" w:rsidRDefault="00886CFB" w:rsidP="00906B0E">
      <w:pPr>
        <w:pStyle w:val="ECHRPara"/>
        <w:keepNext/>
        <w:keepLines/>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33</w:t>
      </w:r>
      <w:r w:rsidRPr="00054DEE">
        <w:rPr>
          <w:lang w:val="ro-RO"/>
        </w:rPr>
        <w:fldChar w:fldCharType="end"/>
      </w:r>
      <w:r w:rsidRPr="00054DEE">
        <w:rPr>
          <w:lang w:val="ro-RO"/>
        </w:rPr>
        <w:t>.</w:t>
      </w:r>
      <w:r>
        <w:rPr>
          <w:lang w:val="ro-RO"/>
        </w:rPr>
        <w:t xml:space="preserve"> Fără a invoca nicio dispoziţie a Convenţiei</w:t>
      </w:r>
      <w:r w:rsidRPr="00054DEE">
        <w:rPr>
          <w:lang w:val="ro-RO"/>
        </w:rPr>
        <w:t>,</w:t>
      </w:r>
      <w:r>
        <w:rPr>
          <w:lang w:val="ro-RO"/>
        </w:rPr>
        <w:t xml:space="preserve"> reclamanta estimează că hotărârea curţii de apel din </w:t>
      </w:r>
      <w:r w:rsidRPr="00054DEE">
        <w:rPr>
          <w:lang w:val="ro-RO"/>
        </w:rPr>
        <w:t>Évora</w:t>
      </w:r>
      <w:r>
        <w:rPr>
          <w:lang w:val="ro-RO"/>
        </w:rPr>
        <w:t xml:space="preserve"> </w:t>
      </w:r>
      <w:r w:rsidRPr="00054DEE">
        <w:rPr>
          <w:lang w:val="ro-RO"/>
        </w:rPr>
        <w:t>d</w:t>
      </w:r>
      <w:r>
        <w:rPr>
          <w:lang w:val="ro-RO"/>
        </w:rPr>
        <w:t xml:space="preserve">in data de </w:t>
      </w:r>
      <w:r w:rsidRPr="00054DEE">
        <w:rPr>
          <w:lang w:val="ro-RO"/>
        </w:rPr>
        <w:t>12</w:t>
      </w:r>
      <w:r>
        <w:rPr>
          <w:lang w:val="ro-RO"/>
        </w:rPr>
        <w:t xml:space="preserve"> ianuarie </w:t>
      </w:r>
      <w:r w:rsidRPr="00054DEE">
        <w:rPr>
          <w:lang w:val="ro-RO"/>
        </w:rPr>
        <w:t>2010</w:t>
      </w:r>
      <w:r>
        <w:rPr>
          <w:lang w:val="ro-RO"/>
        </w:rPr>
        <w:t xml:space="preserve"> prin care aceasta dispunea ridicarea secretului profesional pentru a permite consultarea extraselor conturilor sale bancare personale a adus atingere reputaţiei sale de avocat</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34</w:t>
      </w:r>
      <w:r w:rsidRPr="00054DEE">
        <w:rPr>
          <w:lang w:val="ro-RO"/>
        </w:rPr>
        <w:fldChar w:fldCharType="end"/>
      </w:r>
      <w:r w:rsidRPr="00054DEE">
        <w:rPr>
          <w:lang w:val="ro-RO"/>
        </w:rPr>
        <w:t>.</w:t>
      </w:r>
      <w:r>
        <w:rPr>
          <w:lang w:val="ro-RO"/>
        </w:rPr>
        <w:t xml:space="preserve"> Din perspectiva articolului </w:t>
      </w:r>
      <w:r w:rsidRPr="00054DEE">
        <w:rPr>
          <w:lang w:val="ro-RO"/>
        </w:rPr>
        <w:t>6</w:t>
      </w:r>
      <w:r>
        <w:rPr>
          <w:lang w:val="ro-RO"/>
        </w:rPr>
        <w:t xml:space="preserve"> din Convenţie</w:t>
      </w:r>
      <w:r w:rsidRPr="00054DEE">
        <w:rPr>
          <w:lang w:val="ro-RO"/>
        </w:rPr>
        <w:t>,</w:t>
      </w:r>
      <w:r>
        <w:rPr>
          <w:lang w:val="ro-RO"/>
        </w:rPr>
        <w:t xml:space="preserve"> reclamanta se plânge că nu s-a putut apăra şi că nu a fost informată efectiv în ceea ce priveşte ridicarea secretului profesional şi a celui bancar decât în momentul în care a luat cunoştinţă de hotărârea Curţii de Apel din </w:t>
      </w:r>
      <w:r w:rsidRPr="00054DEE">
        <w:rPr>
          <w:lang w:val="ro-RO"/>
        </w:rPr>
        <w:t>Évora.</w:t>
      </w:r>
      <w:r>
        <w:rPr>
          <w:lang w:val="ro-RO"/>
        </w:rPr>
        <w:t xml:space="preserve"> De asemenea, reclamanta se plânge</w:t>
      </w:r>
      <w:r w:rsidRPr="00054DEE">
        <w:rPr>
          <w:lang w:val="ro-RO"/>
        </w:rPr>
        <w:t>,</w:t>
      </w:r>
      <w:r>
        <w:rPr>
          <w:lang w:val="ro-RO"/>
        </w:rPr>
        <w:t xml:space="preserve"> în încălcarea articolului </w:t>
      </w:r>
      <w:r w:rsidRPr="00054DEE">
        <w:rPr>
          <w:lang w:val="ro-RO"/>
        </w:rPr>
        <w:t>13</w:t>
      </w:r>
      <w:r>
        <w:rPr>
          <w:lang w:val="ro-RO"/>
        </w:rPr>
        <w:t xml:space="preserve"> din Convenţie că nu a putut să atace această decizie la Curtea Supremă</w:t>
      </w:r>
      <w:r w:rsidRPr="00054DEE">
        <w:rPr>
          <w:lang w:val="ro-RO"/>
        </w:rPr>
        <w:t>,</w:t>
      </w:r>
    </w:p>
    <w:p w:rsidR="00886CFB" w:rsidRPr="00054DEE" w:rsidRDefault="00886CFB" w:rsidP="00906B0E">
      <w:pPr>
        <w:pStyle w:val="ECHRPara"/>
        <w:rPr>
          <w:i/>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35</w:t>
      </w:r>
      <w:r w:rsidRPr="00054DEE">
        <w:rPr>
          <w:lang w:val="ro-RO"/>
        </w:rPr>
        <w:fldChar w:fldCharType="end"/>
      </w:r>
      <w:r w:rsidRPr="00054DEE">
        <w:rPr>
          <w:lang w:val="ro-RO"/>
        </w:rPr>
        <w:t>.</w:t>
      </w:r>
      <w:r>
        <w:rPr>
          <w:lang w:val="ro-RO"/>
        </w:rPr>
        <w:t xml:space="preserve"> Autoritate supremă în domeniul calificării juridice a faptelor din dosar</w:t>
      </w:r>
      <w:r w:rsidRPr="00054DEE">
        <w:rPr>
          <w:lang w:val="ro-RO"/>
        </w:rPr>
        <w:t>,</w:t>
      </w:r>
      <w:r>
        <w:rPr>
          <w:lang w:val="ro-RO"/>
        </w:rPr>
        <w:t xml:space="preserve"> Curtea consideră</w:t>
      </w:r>
      <w:r w:rsidRPr="00054DEE">
        <w:rPr>
          <w:lang w:val="ro-RO"/>
        </w:rPr>
        <w:t>,</w:t>
      </w:r>
      <w:r>
        <w:rPr>
          <w:lang w:val="ro-RO"/>
        </w:rPr>
        <w:t xml:space="preserve"> în dosarul de faţă, că plângerile legate de derularea măsurii litigioase şi controlul său jurisdicţional se referă în principal la dreptul la respectarea vieţii private şi a secretului corespondenţei legat mai ales de confidenţialitatea legată de relaţiile dintre </w:t>
      </w:r>
      <w:r w:rsidRPr="00054DEE">
        <w:rPr>
          <w:lang w:val="ro-RO"/>
        </w:rPr>
        <w:t>un</w:t>
      </w:r>
      <w:r>
        <w:rPr>
          <w:lang w:val="ro-RO"/>
        </w:rPr>
        <w:t xml:space="preserve"> </w:t>
      </w:r>
      <w:r w:rsidRPr="00054DEE">
        <w:rPr>
          <w:lang w:val="ro-RO"/>
        </w:rPr>
        <w:t>avocat</w:t>
      </w:r>
      <w:r>
        <w:rPr>
          <w:lang w:val="ro-RO"/>
        </w:rPr>
        <w:t xml:space="preserve"> şi clientul său şi astfel trebuie analizate din perspectiva exclusivă a articolului </w:t>
      </w:r>
      <w:r w:rsidRPr="00054DEE">
        <w:rPr>
          <w:lang w:val="ro-RO"/>
        </w:rPr>
        <w:t>8</w:t>
      </w:r>
      <w:r>
        <w:rPr>
          <w:lang w:val="ro-RO"/>
        </w:rPr>
        <w:t xml:space="preserve"> din Convenţie</w:t>
      </w:r>
      <w:r w:rsidRPr="00054DEE">
        <w:rPr>
          <w:lang w:val="ro-RO"/>
        </w:rPr>
        <w:t>,</w:t>
      </w:r>
      <w:r>
        <w:rPr>
          <w:lang w:val="ro-RO"/>
        </w:rPr>
        <w:t xml:space="preserve"> care include, de asemenea, un aspect procedural </w:t>
      </w:r>
      <w:r w:rsidRPr="00054DEE">
        <w:rPr>
          <w:lang w:val="ro-RO"/>
        </w:rPr>
        <w:t>(</w:t>
      </w:r>
      <w:r w:rsidRPr="00054DEE">
        <w:rPr>
          <w:i/>
          <w:lang w:val="ro-RO"/>
        </w:rPr>
        <w:t>Xavier</w:t>
      </w:r>
      <w:r>
        <w:rPr>
          <w:i/>
          <w:lang w:val="ro-RO"/>
        </w:rPr>
        <w:t xml:space="preserve"> </w:t>
      </w:r>
      <w:r w:rsidRPr="00054DEE">
        <w:rPr>
          <w:i/>
          <w:lang w:val="ro-RO"/>
        </w:rPr>
        <w:t>da</w:t>
      </w:r>
      <w:r>
        <w:rPr>
          <w:i/>
          <w:lang w:val="ro-RO"/>
        </w:rPr>
        <w:t xml:space="preserve"> </w:t>
      </w:r>
      <w:r w:rsidRPr="00054DEE">
        <w:rPr>
          <w:i/>
          <w:lang w:val="ro-RO"/>
        </w:rPr>
        <w:t>Silveira</w:t>
      </w:r>
      <w:r>
        <w:rPr>
          <w:i/>
          <w:lang w:val="ro-RO"/>
        </w:rPr>
        <w:t xml:space="preserve"> </w:t>
      </w:r>
      <w:r w:rsidRPr="00054DEE">
        <w:rPr>
          <w:i/>
          <w:lang w:val="ro-RO"/>
        </w:rPr>
        <w:t>c.</w:t>
      </w:r>
      <w:r>
        <w:rPr>
          <w:i/>
          <w:lang w:val="ro-RO"/>
        </w:rPr>
        <w:t xml:space="preserve"> </w:t>
      </w:r>
      <w:r w:rsidRPr="00054DEE">
        <w:rPr>
          <w:i/>
          <w:lang w:val="ro-RO"/>
        </w:rPr>
        <w:t>France</w:t>
      </w:r>
      <w:r w:rsidRPr="00054DEE">
        <w:rPr>
          <w:lang w:val="ro-RO"/>
        </w:rPr>
        <w:t>,</w:t>
      </w:r>
      <w:r>
        <w:rPr>
          <w:lang w:val="ro-RO"/>
        </w:rPr>
        <w:t xml:space="preserve"> nr. </w:t>
      </w:r>
      <w:r w:rsidRPr="00054DEE">
        <w:rPr>
          <w:lang w:val="ro-RO"/>
        </w:rPr>
        <w:t>43757/05</w:t>
      </w:r>
      <w:r w:rsidRPr="00054DEE">
        <w:rPr>
          <w:snapToGrid w:val="0"/>
          <w:lang w:val="ro-RO"/>
        </w:rPr>
        <w:t>,</w:t>
      </w:r>
      <w:r>
        <w:rPr>
          <w:snapToGrid w:val="0"/>
          <w:lang w:val="ro-RO"/>
        </w:rPr>
        <w:t xml:space="preserve"> </w:t>
      </w:r>
      <w:r w:rsidRPr="00054DEE">
        <w:rPr>
          <w:snapToGrid w:val="0"/>
          <w:lang w:val="ro-RO"/>
        </w:rPr>
        <w:t>§</w:t>
      </w:r>
      <w:r>
        <w:rPr>
          <w:snapToGrid w:val="0"/>
          <w:lang w:val="ro-RO"/>
        </w:rPr>
        <w:t xml:space="preserve"> </w:t>
      </w:r>
      <w:r w:rsidRPr="00054DEE">
        <w:rPr>
          <w:snapToGrid w:val="0"/>
          <w:lang w:val="ro-RO"/>
        </w:rPr>
        <w:t>21,</w:t>
      </w:r>
      <w:r>
        <w:rPr>
          <w:snapToGrid w:val="0"/>
          <w:lang w:val="ro-RO"/>
        </w:rPr>
        <w:t xml:space="preserve"> </w:t>
      </w:r>
      <w:r w:rsidRPr="00054DEE">
        <w:rPr>
          <w:snapToGrid w:val="0"/>
          <w:lang w:val="ro-RO"/>
        </w:rPr>
        <w:t>21</w:t>
      </w:r>
      <w:r>
        <w:rPr>
          <w:snapToGrid w:val="0"/>
          <w:lang w:val="ro-RO"/>
        </w:rPr>
        <w:t xml:space="preserve"> </w:t>
      </w:r>
      <w:r>
        <w:rPr>
          <w:lang w:val="ro-RO"/>
        </w:rPr>
        <w:t>ianuarie</w:t>
      </w:r>
      <w:r>
        <w:rPr>
          <w:snapToGrid w:val="0"/>
          <w:lang w:val="ro-RO"/>
        </w:rPr>
        <w:t xml:space="preserve"> </w:t>
      </w:r>
      <w:r w:rsidRPr="00054DEE">
        <w:rPr>
          <w:snapToGrid w:val="0"/>
          <w:lang w:val="ro-RO"/>
        </w:rPr>
        <w:t>2010</w:t>
      </w:r>
      <w:r w:rsidRPr="00054DEE">
        <w:rPr>
          <w:lang w:val="ro-RO"/>
        </w:rPr>
        <w:t>)</w:t>
      </w:r>
      <w:r>
        <w:rPr>
          <w:lang w:val="ro-RO"/>
        </w:rPr>
        <w:t xml:space="preserve"> şi este formulat în felul următor:</w:t>
      </w:r>
    </w:p>
    <w:p w:rsidR="00886CFB" w:rsidRPr="00054DEE" w:rsidRDefault="00886CFB" w:rsidP="00906B0E">
      <w:pPr>
        <w:pStyle w:val="ECHRParaQuote"/>
        <w:jc w:val="center"/>
        <w:rPr>
          <w:b/>
          <w:lang w:val="ro-RO"/>
        </w:rPr>
      </w:pPr>
      <w:r w:rsidRPr="00054DEE">
        <w:rPr>
          <w:b/>
          <w:lang w:val="ro-RO"/>
        </w:rPr>
        <w:t>Artic</w:t>
      </w:r>
      <w:r>
        <w:rPr>
          <w:b/>
          <w:lang w:val="ro-RO"/>
        </w:rPr>
        <w:t xml:space="preserve">olul </w:t>
      </w:r>
      <w:r w:rsidRPr="00054DEE">
        <w:rPr>
          <w:b/>
          <w:lang w:val="ro-RO"/>
        </w:rPr>
        <w:t>8</w:t>
      </w:r>
    </w:p>
    <w:p w:rsidR="00886CFB" w:rsidRPr="00054DEE" w:rsidRDefault="00886CFB" w:rsidP="00906B0E">
      <w:pPr>
        <w:pStyle w:val="ECHRParaQuote"/>
        <w:rPr>
          <w:lang w:val="ro-RO"/>
        </w:rPr>
      </w:pPr>
      <w:r>
        <w:rPr>
          <w:lang w:val="ro-RO"/>
        </w:rPr>
        <w:t>„</w:t>
      </w:r>
      <w:r w:rsidRPr="00054DEE">
        <w:rPr>
          <w:lang w:val="ro-RO"/>
        </w:rPr>
        <w:t>1.</w:t>
      </w:r>
      <w:r>
        <w:rPr>
          <w:lang w:val="ro-RO"/>
        </w:rPr>
        <w:t xml:space="preserve"> Orice persoană are dreptul la respectarea vieţii sale private şi </w:t>
      </w:r>
      <w:r w:rsidRPr="00054DEE">
        <w:rPr>
          <w:lang w:val="ro-RO"/>
        </w:rPr>
        <w:t>familiale,</w:t>
      </w:r>
      <w:r>
        <w:rPr>
          <w:lang w:val="ro-RO"/>
        </w:rPr>
        <w:t xml:space="preserve"> a domiciliului şi corespondenţei sale</w:t>
      </w:r>
      <w:r w:rsidRPr="00054DEE">
        <w:rPr>
          <w:lang w:val="ro-RO"/>
        </w:rPr>
        <w:t>.</w:t>
      </w:r>
    </w:p>
    <w:p w:rsidR="00886CFB" w:rsidRPr="00054DEE" w:rsidRDefault="00886CFB" w:rsidP="00906B0E">
      <w:pPr>
        <w:pStyle w:val="ECHRParaQuote"/>
        <w:rPr>
          <w:lang w:val="ro-RO"/>
        </w:rPr>
      </w:pPr>
      <w:r w:rsidRPr="00054DEE">
        <w:rPr>
          <w:lang w:val="ro-RO"/>
        </w:rPr>
        <w:t>2.</w:t>
      </w:r>
      <w:r>
        <w:rPr>
          <w:lang w:val="ro-RO"/>
        </w:rPr>
        <w:t xml:space="preserve"> Nu poate exista nicio imixtiune a unei autorităţi publice în exercitarea acestui drept decât în măsura în care această imixtiune este prevăzută de lege şi constituie o măsură care</w:t>
      </w:r>
      <w:r w:rsidRPr="00054DEE">
        <w:rPr>
          <w:lang w:val="ro-RO"/>
        </w:rPr>
        <w:t>,</w:t>
      </w:r>
      <w:r>
        <w:rPr>
          <w:lang w:val="ro-RO"/>
        </w:rPr>
        <w:t xml:space="preserve"> într-o societate democratică</w:t>
      </w:r>
      <w:r w:rsidRPr="00054DEE">
        <w:rPr>
          <w:lang w:val="ro-RO"/>
        </w:rPr>
        <w:t>,</w:t>
      </w:r>
      <w:r>
        <w:rPr>
          <w:lang w:val="ro-RO"/>
        </w:rPr>
        <w:t xml:space="preserve"> </w:t>
      </w:r>
      <w:r w:rsidRPr="00054DEE">
        <w:rPr>
          <w:lang w:val="ro-RO"/>
        </w:rPr>
        <w:t>est</w:t>
      </w:r>
      <w:r>
        <w:rPr>
          <w:lang w:val="ro-RO"/>
        </w:rPr>
        <w:t>e necesară pentru siguranţa naţională</w:t>
      </w:r>
      <w:r w:rsidRPr="00054DEE">
        <w:rPr>
          <w:lang w:val="ro-RO"/>
        </w:rPr>
        <w:t>,</w:t>
      </w:r>
      <w:r>
        <w:rPr>
          <w:lang w:val="ro-RO"/>
        </w:rPr>
        <w:t xml:space="preserve"> siguranţa publică, bunăstarea economică a ţării</w:t>
      </w:r>
      <w:r w:rsidRPr="00054DEE">
        <w:rPr>
          <w:lang w:val="ro-RO"/>
        </w:rPr>
        <w:t>,</w:t>
      </w:r>
      <w:r>
        <w:rPr>
          <w:lang w:val="ro-RO"/>
        </w:rPr>
        <w:t xml:space="preserve"> apărarea asociaţiei şi prevederea de infracţiuni penale</w:t>
      </w:r>
      <w:r w:rsidRPr="00054DEE">
        <w:rPr>
          <w:lang w:val="ro-RO"/>
        </w:rPr>
        <w:t>,</w:t>
      </w:r>
      <w:r>
        <w:rPr>
          <w:lang w:val="ro-RO"/>
        </w:rPr>
        <w:t xml:space="preserve"> la protecţia sănătăţii sau moralei</w:t>
      </w:r>
      <w:r w:rsidRPr="00054DEE">
        <w:rPr>
          <w:lang w:val="ro-RO"/>
        </w:rPr>
        <w:t>,</w:t>
      </w:r>
      <w:r>
        <w:rPr>
          <w:lang w:val="ro-RO"/>
        </w:rPr>
        <w:t xml:space="preserve"> sau la protecţia drepturilor şi libertăţilor unei alte persoane</w:t>
      </w:r>
      <w:r w:rsidRPr="00054DEE">
        <w:rPr>
          <w:lang w:val="ro-RO"/>
        </w:rPr>
        <w:t>.</w:t>
      </w:r>
      <w:r>
        <w:rPr>
          <w:lang w:val="ro-RO"/>
        </w:rPr>
        <w:t>”</w:t>
      </w:r>
    </w:p>
    <w:p w:rsidR="00886CFB" w:rsidRPr="00054DEE" w:rsidRDefault="00886CFB" w:rsidP="00906B0E">
      <w:pPr>
        <w:pStyle w:val="JuParaSub"/>
        <w:ind w:left="0"/>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36</w:t>
      </w:r>
      <w:r w:rsidRPr="00054DEE">
        <w:rPr>
          <w:lang w:val="ro-RO"/>
        </w:rPr>
        <w:fldChar w:fldCharType="end"/>
      </w:r>
      <w:r w:rsidRPr="00054DEE">
        <w:rPr>
          <w:lang w:val="ro-RO"/>
        </w:rPr>
        <w:t>.</w:t>
      </w:r>
      <w:r>
        <w:rPr>
          <w:lang w:val="ro-RO"/>
        </w:rPr>
        <w:t xml:space="preserve"> Guvernul respinge teza reclamantei</w:t>
      </w:r>
      <w:r w:rsidRPr="00054DEE">
        <w:rPr>
          <w:lang w:val="ro-RO"/>
        </w:rPr>
        <w:t>.</w:t>
      </w:r>
    </w:p>
    <w:p w:rsidR="00886CFB" w:rsidRPr="00054DEE" w:rsidRDefault="00886CFB" w:rsidP="00906B0E">
      <w:pPr>
        <w:pStyle w:val="ECHRHeading2"/>
        <w:outlineLvl w:val="0"/>
        <w:rPr>
          <w:lang w:val="ro-RO"/>
        </w:rPr>
      </w:pPr>
      <w:r w:rsidRPr="00054DEE">
        <w:rPr>
          <w:lang w:val="ro-RO"/>
        </w:rPr>
        <w:t>A.</w:t>
      </w:r>
      <w:r>
        <w:rPr>
          <w:lang w:val="ro-RO"/>
        </w:rPr>
        <w:t xml:space="preserve"> Privind admisibilitatea</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37</w:t>
      </w:r>
      <w:r w:rsidRPr="00054DEE">
        <w:rPr>
          <w:lang w:val="ro-RO"/>
        </w:rPr>
        <w:fldChar w:fldCharType="end"/>
      </w:r>
      <w:r w:rsidRPr="00054DEE">
        <w:rPr>
          <w:lang w:val="ro-RO"/>
        </w:rPr>
        <w:t>.</w:t>
      </w:r>
      <w:r>
        <w:rPr>
          <w:lang w:val="ro-RO"/>
        </w:rPr>
        <w:t xml:space="preserve"> Curtea </w:t>
      </w:r>
      <w:r w:rsidRPr="00054DEE">
        <w:rPr>
          <w:lang w:val="ro-RO"/>
        </w:rPr>
        <w:t>constat</w:t>
      </w:r>
      <w:r>
        <w:rPr>
          <w:lang w:val="ro-RO"/>
        </w:rPr>
        <w:t xml:space="preserve">ă că aceste plângeri nu sunt în mod evident neîntemeiate în sensul articolului </w:t>
      </w:r>
      <w:r w:rsidRPr="00054DEE">
        <w:rPr>
          <w:lang w:val="ro-RO"/>
        </w:rPr>
        <w:t>35</w:t>
      </w:r>
      <w:r>
        <w:rPr>
          <w:lang w:val="ro-RO"/>
        </w:rPr>
        <w:t xml:space="preserve"> </w:t>
      </w:r>
      <w:r w:rsidRPr="00054DEE">
        <w:rPr>
          <w:lang w:val="ro-RO"/>
        </w:rPr>
        <w:t>§</w:t>
      </w:r>
      <w:r>
        <w:rPr>
          <w:lang w:val="ro-RO"/>
        </w:rPr>
        <w:t xml:space="preserve"> </w:t>
      </w:r>
      <w:r w:rsidRPr="00054DEE">
        <w:rPr>
          <w:lang w:val="ro-RO"/>
        </w:rPr>
        <w:t>3</w:t>
      </w:r>
      <w:r>
        <w:rPr>
          <w:lang w:val="ro-RO"/>
        </w:rPr>
        <w:t xml:space="preserve"> </w:t>
      </w:r>
      <w:r w:rsidRPr="00054DEE">
        <w:rPr>
          <w:lang w:val="ro-RO"/>
        </w:rPr>
        <w:t>a)</w:t>
      </w:r>
      <w:r>
        <w:rPr>
          <w:lang w:val="ro-RO"/>
        </w:rPr>
        <w:t xml:space="preserve"> din Convenţie şi, de asemenea, că acestea nu se împiedică de niciun motiv de inadmisibilitate</w:t>
      </w:r>
      <w:r w:rsidRPr="00054DEE">
        <w:rPr>
          <w:lang w:val="ro-RO"/>
        </w:rPr>
        <w:t>,</w:t>
      </w:r>
      <w:r>
        <w:rPr>
          <w:lang w:val="ro-RO"/>
        </w:rPr>
        <w:t xml:space="preserve"> Curtea le declară admisibile</w:t>
      </w:r>
      <w:r w:rsidRPr="00054DEE">
        <w:rPr>
          <w:lang w:val="ro-RO"/>
        </w:rPr>
        <w:t>.</w:t>
      </w:r>
    </w:p>
    <w:p w:rsidR="00886CFB" w:rsidRPr="00054DEE" w:rsidRDefault="00886CFB" w:rsidP="00906B0E">
      <w:pPr>
        <w:pStyle w:val="ECHRHeading2"/>
        <w:outlineLvl w:val="0"/>
        <w:rPr>
          <w:lang w:val="ro-RO"/>
        </w:rPr>
      </w:pPr>
      <w:r w:rsidRPr="00054DEE">
        <w:rPr>
          <w:lang w:val="ro-RO"/>
        </w:rPr>
        <w:lastRenderedPageBreak/>
        <w:t>B.</w:t>
      </w:r>
      <w:r>
        <w:rPr>
          <w:lang w:val="ro-RO"/>
        </w:rPr>
        <w:t xml:space="preserve"> Pe fond</w:t>
      </w:r>
    </w:p>
    <w:p w:rsidR="00886CFB" w:rsidRPr="00054DEE" w:rsidRDefault="00886CFB" w:rsidP="00906B0E">
      <w:pPr>
        <w:pStyle w:val="ECHRHeading3"/>
        <w:rPr>
          <w:lang w:val="ro-RO"/>
        </w:rPr>
      </w:pPr>
      <w:r w:rsidRPr="00054DEE">
        <w:rPr>
          <w:lang w:val="ro-RO"/>
        </w:rPr>
        <w:t>1.</w:t>
      </w:r>
      <w:r>
        <w:rPr>
          <w:lang w:val="ro-RO"/>
        </w:rPr>
        <w:t xml:space="preserve"> Argumentele părţilor</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38</w:t>
      </w:r>
      <w:r w:rsidRPr="00054DEE">
        <w:rPr>
          <w:lang w:val="ro-RO"/>
        </w:rPr>
        <w:fldChar w:fldCharType="end"/>
      </w:r>
      <w:r w:rsidRPr="00054DEE">
        <w:rPr>
          <w:lang w:val="ro-RO"/>
        </w:rPr>
        <w:t>.</w:t>
      </w:r>
      <w:r>
        <w:rPr>
          <w:lang w:val="ro-RO"/>
        </w:rPr>
        <w:t xml:space="preserve"> Reclamanta consideră că consultarea extraselor conturilor sale bancare</w:t>
      </w:r>
      <w:r w:rsidRPr="00054DEE">
        <w:rPr>
          <w:lang w:val="ro-RO"/>
        </w:rPr>
        <w:t>,</w:t>
      </w:r>
      <w:r>
        <w:rPr>
          <w:lang w:val="ro-RO"/>
        </w:rPr>
        <w:t xml:space="preserve"> dispusă de curtea de apel din </w:t>
      </w:r>
      <w:r w:rsidRPr="00054DEE">
        <w:rPr>
          <w:lang w:val="ro-RO"/>
        </w:rPr>
        <w:t>Évora</w:t>
      </w:r>
      <w:r>
        <w:rPr>
          <w:lang w:val="ro-RO"/>
        </w:rPr>
        <w:t xml:space="preserve"> în hotărârea sa din data de </w:t>
      </w:r>
      <w:r w:rsidRPr="00054DEE">
        <w:rPr>
          <w:lang w:val="ro-RO"/>
        </w:rPr>
        <w:t>12</w:t>
      </w:r>
      <w:r>
        <w:rPr>
          <w:lang w:val="ro-RO"/>
        </w:rPr>
        <w:t xml:space="preserve"> ianuarie </w:t>
      </w:r>
      <w:r w:rsidRPr="00054DEE">
        <w:rPr>
          <w:lang w:val="ro-RO"/>
        </w:rPr>
        <w:t>2010</w:t>
      </w:r>
      <w:r>
        <w:rPr>
          <w:lang w:val="ro-RO"/>
        </w:rPr>
        <w:t xml:space="preserve"> în aplicarea articolului </w:t>
      </w:r>
      <w:r w:rsidRPr="00054DEE">
        <w:rPr>
          <w:lang w:val="ro-RO"/>
        </w:rPr>
        <w:t>135</w:t>
      </w:r>
      <w:r>
        <w:rPr>
          <w:lang w:val="ro-RO"/>
        </w:rPr>
        <w:t xml:space="preserve"> din CPP a constituit o imixtiune disproporţionată cu dreptul său la respectarea confidenţialităţii care este legată de relaţiile dintre </w:t>
      </w:r>
      <w:r w:rsidRPr="00054DEE">
        <w:rPr>
          <w:lang w:val="ro-RO"/>
        </w:rPr>
        <w:t>un</w:t>
      </w:r>
      <w:r>
        <w:rPr>
          <w:lang w:val="ro-RO"/>
        </w:rPr>
        <w:t xml:space="preserve"> </w:t>
      </w:r>
      <w:r w:rsidRPr="00054DEE">
        <w:rPr>
          <w:lang w:val="ro-RO"/>
        </w:rPr>
        <w:t>avocat</w:t>
      </w:r>
      <w:r>
        <w:rPr>
          <w:lang w:val="ro-RO"/>
        </w:rPr>
        <w:t xml:space="preserve"> şi clientul său</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39</w:t>
      </w:r>
      <w:r w:rsidRPr="00054DEE">
        <w:rPr>
          <w:lang w:val="ro-RO"/>
        </w:rPr>
        <w:fldChar w:fldCharType="end"/>
      </w:r>
      <w:r w:rsidRPr="00054DEE">
        <w:rPr>
          <w:lang w:val="ro-RO"/>
        </w:rPr>
        <w:t>.</w:t>
      </w:r>
      <w:r>
        <w:rPr>
          <w:lang w:val="ro-RO"/>
        </w:rPr>
        <w:t xml:space="preserve"> Pe </w:t>
      </w:r>
      <w:r w:rsidRPr="00054DEE">
        <w:rPr>
          <w:lang w:val="ro-RO"/>
        </w:rPr>
        <w:t>plan</w:t>
      </w:r>
      <w:r>
        <w:rPr>
          <w:lang w:val="ro-RO"/>
        </w:rPr>
        <w:t xml:space="preserve"> </w:t>
      </w:r>
      <w:r w:rsidRPr="00054DEE">
        <w:rPr>
          <w:lang w:val="ro-RO"/>
        </w:rPr>
        <w:t>proc</w:t>
      </w:r>
      <w:r>
        <w:rPr>
          <w:lang w:val="ro-RO"/>
        </w:rPr>
        <w:t>e</w:t>
      </w:r>
      <w:r w:rsidRPr="00054DEE">
        <w:rPr>
          <w:lang w:val="ro-RO"/>
        </w:rPr>
        <w:t>dural,</w:t>
      </w:r>
      <w:r>
        <w:rPr>
          <w:lang w:val="ro-RO"/>
        </w:rPr>
        <w:t xml:space="preserve"> ea se plânge că nu a avut posibilitatea să se apere în cadrul acestei proceduri şi că nu a avut acces la un recurs efectiv pentru contestarea deciziei Curţii de </w:t>
      </w:r>
      <w:r>
        <w:rPr>
          <w:highlight w:val="yellow"/>
          <w:lang w:val="ro-RO"/>
        </w:rPr>
        <w:t>A</w:t>
      </w:r>
      <w:r w:rsidRPr="00AB6CBD">
        <w:rPr>
          <w:highlight w:val="yellow"/>
          <w:lang w:val="ro-RO"/>
        </w:rPr>
        <w:t>pel</w:t>
      </w:r>
      <w:r>
        <w:rPr>
          <w:highlight w:val="yellow"/>
          <w:lang w:val="ro-RO"/>
        </w:rPr>
        <w:t xml:space="preserve"> </w:t>
      </w:r>
      <w:r w:rsidRPr="00AB6CBD">
        <w:rPr>
          <w:highlight w:val="yellow"/>
          <w:lang w:val="ro-RO"/>
        </w:rPr>
        <w:t>din</w:t>
      </w:r>
      <w:r>
        <w:rPr>
          <w:highlight w:val="yellow"/>
          <w:lang w:val="ro-RO"/>
        </w:rPr>
        <w:t xml:space="preserve"> </w:t>
      </w:r>
      <w:r w:rsidRPr="00AB6CBD">
        <w:rPr>
          <w:highlight w:val="yellow"/>
          <w:lang w:val="ro-RO"/>
        </w:rPr>
        <w:t>Évora.</w:t>
      </w:r>
      <w:r>
        <w:rPr>
          <w:highlight w:val="yellow"/>
          <w:lang w:val="ro-RO"/>
        </w:rPr>
        <w:t xml:space="preserve"> </w:t>
      </w:r>
      <w:r w:rsidRPr="00AB6CBD">
        <w:rPr>
          <w:highlight w:val="yellow"/>
          <w:lang w:val="ro-RO"/>
        </w:rPr>
        <w:t>Ea</w:t>
      </w:r>
      <w:r>
        <w:rPr>
          <w:highlight w:val="yellow"/>
          <w:lang w:val="ro-RO"/>
        </w:rPr>
        <w:t xml:space="preserve"> </w:t>
      </w:r>
      <w:r w:rsidRPr="00AB6CBD">
        <w:rPr>
          <w:highlight w:val="yellow"/>
          <w:lang w:val="ro-RO"/>
        </w:rPr>
        <w:t>denunţă,</w:t>
      </w:r>
      <w:r>
        <w:rPr>
          <w:highlight w:val="yellow"/>
          <w:lang w:val="ro-RO"/>
        </w:rPr>
        <w:t xml:space="preserve"> </w:t>
      </w:r>
      <w:r w:rsidRPr="00AB6CBD">
        <w:rPr>
          <w:highlight w:val="yellow"/>
          <w:lang w:val="ro-RO"/>
        </w:rPr>
        <w:t>de</w:t>
      </w:r>
      <w:r>
        <w:rPr>
          <w:highlight w:val="yellow"/>
          <w:lang w:val="ro-RO"/>
        </w:rPr>
        <w:t xml:space="preserve"> </w:t>
      </w:r>
      <w:r w:rsidRPr="00AB6CBD">
        <w:rPr>
          <w:highlight w:val="yellow"/>
          <w:lang w:val="ro-RO"/>
        </w:rPr>
        <w:t>asemenea,</w:t>
      </w:r>
      <w:r>
        <w:rPr>
          <w:highlight w:val="yellow"/>
          <w:lang w:val="ro-RO"/>
        </w:rPr>
        <w:t xml:space="preserve"> </w:t>
      </w:r>
      <w:r w:rsidRPr="00AB6CBD">
        <w:rPr>
          <w:highlight w:val="yellow"/>
          <w:lang w:val="ro-RO"/>
        </w:rPr>
        <w:t>viciul</w:t>
      </w:r>
      <w:r>
        <w:rPr>
          <w:highlight w:val="yellow"/>
          <w:lang w:val="ro-RO"/>
        </w:rPr>
        <w:t xml:space="preserve"> </w:t>
      </w:r>
      <w:r w:rsidRPr="00AB6CBD">
        <w:rPr>
          <w:highlight w:val="yellow"/>
          <w:lang w:val="ro-RO"/>
        </w:rPr>
        <w:t>de</w:t>
      </w:r>
      <w:r>
        <w:rPr>
          <w:highlight w:val="yellow"/>
          <w:lang w:val="ro-RO"/>
        </w:rPr>
        <w:t xml:space="preserve"> </w:t>
      </w:r>
      <w:r w:rsidRPr="00AB6CBD">
        <w:rPr>
          <w:highlight w:val="yellow"/>
          <w:lang w:val="ro-RO"/>
        </w:rPr>
        <w:t>consultare</w:t>
      </w:r>
      <w:r>
        <w:rPr>
          <w:highlight w:val="yellow"/>
          <w:lang w:val="ro-RO"/>
        </w:rPr>
        <w:t xml:space="preserve"> </w:t>
      </w:r>
      <w:r w:rsidRPr="00AB6CBD">
        <w:rPr>
          <w:highlight w:val="yellow"/>
          <w:lang w:val="ro-RO"/>
        </w:rPr>
        <w:t>obligatorie</w:t>
      </w:r>
      <w:r>
        <w:rPr>
          <w:highlight w:val="yellow"/>
          <w:lang w:val="ro-RO"/>
        </w:rPr>
        <w:t xml:space="preserve"> </w:t>
      </w:r>
      <w:r w:rsidRPr="00AB6CBD">
        <w:rPr>
          <w:highlight w:val="yellow"/>
          <w:lang w:val="ro-RO"/>
        </w:rPr>
        <w:t>a</w:t>
      </w:r>
      <w:r>
        <w:rPr>
          <w:highlight w:val="yellow"/>
          <w:lang w:val="ro-RO"/>
        </w:rPr>
        <w:t xml:space="preserve"> </w:t>
      </w:r>
      <w:r w:rsidRPr="00AB6CBD">
        <w:rPr>
          <w:highlight w:val="yellow"/>
          <w:lang w:val="ro-RO"/>
        </w:rPr>
        <w:t>Baroului</w:t>
      </w:r>
      <w:r>
        <w:rPr>
          <w:highlight w:val="yellow"/>
          <w:lang w:val="ro-RO"/>
        </w:rPr>
        <w:t xml:space="preserve"> </w:t>
      </w:r>
      <w:r w:rsidRPr="00AB6CBD">
        <w:rPr>
          <w:highlight w:val="yellow"/>
          <w:lang w:val="ro-RO"/>
        </w:rPr>
        <w:t>prevăzută</w:t>
      </w:r>
      <w:r>
        <w:rPr>
          <w:highlight w:val="yellow"/>
          <w:lang w:val="ro-RO"/>
        </w:rPr>
        <w:t xml:space="preserve"> </w:t>
      </w:r>
      <w:r w:rsidRPr="00AB6CBD">
        <w:rPr>
          <w:highlight w:val="yellow"/>
          <w:lang w:val="ro-RO"/>
        </w:rPr>
        <w:t>în</w:t>
      </w:r>
      <w:r>
        <w:rPr>
          <w:highlight w:val="yellow"/>
          <w:lang w:val="ro-RO"/>
        </w:rPr>
        <w:t xml:space="preserve"> </w:t>
      </w:r>
      <w:r w:rsidRPr="00AB6CBD">
        <w:rPr>
          <w:highlight w:val="yellow"/>
          <w:lang w:val="ro-RO"/>
        </w:rPr>
        <w:t>articolul</w:t>
      </w:r>
      <w:r>
        <w:rPr>
          <w:highlight w:val="yellow"/>
          <w:lang w:val="ro-RO"/>
        </w:rPr>
        <w:t xml:space="preserve"> </w:t>
      </w:r>
      <w:r w:rsidRPr="00AB6CBD">
        <w:rPr>
          <w:highlight w:val="yellow"/>
          <w:lang w:val="ro-RO"/>
        </w:rPr>
        <w:t>87</w:t>
      </w:r>
      <w:r>
        <w:rPr>
          <w:highlight w:val="yellow"/>
          <w:lang w:val="ro-RO"/>
        </w:rPr>
        <w:t xml:space="preserve"> </w:t>
      </w:r>
      <w:r w:rsidRPr="00AB6CBD">
        <w:rPr>
          <w:highlight w:val="yellow"/>
          <w:lang w:val="ro-RO"/>
        </w:rPr>
        <w:t>§</w:t>
      </w:r>
      <w:r>
        <w:rPr>
          <w:highlight w:val="yellow"/>
          <w:lang w:val="ro-RO"/>
        </w:rPr>
        <w:t xml:space="preserve"> </w:t>
      </w:r>
      <w:r w:rsidRPr="00AB6CBD">
        <w:rPr>
          <w:highlight w:val="yellow"/>
          <w:lang w:val="ro-RO"/>
        </w:rPr>
        <w:t>4</w:t>
      </w:r>
      <w:r>
        <w:rPr>
          <w:highlight w:val="yellow"/>
          <w:lang w:val="ro-RO"/>
        </w:rPr>
        <w:t xml:space="preserve"> </w:t>
      </w:r>
      <w:r w:rsidRPr="00AB6CBD">
        <w:rPr>
          <w:highlight w:val="yellow"/>
          <w:lang w:val="ro-RO"/>
        </w:rPr>
        <w:t>din</w:t>
      </w:r>
      <w:r>
        <w:rPr>
          <w:highlight w:val="yellow"/>
          <w:lang w:val="ro-RO"/>
        </w:rPr>
        <w:t xml:space="preserve"> </w:t>
      </w:r>
      <w:r w:rsidRPr="00AB6CBD">
        <w:rPr>
          <w:highlight w:val="yellow"/>
          <w:lang w:val="ro-RO"/>
        </w:rPr>
        <w:t>statutul</w:t>
      </w:r>
      <w:r>
        <w:rPr>
          <w:highlight w:val="yellow"/>
          <w:lang w:val="ro-RO"/>
        </w:rPr>
        <w:t xml:space="preserve"> </w:t>
      </w:r>
      <w:r w:rsidRPr="00AB6CBD">
        <w:rPr>
          <w:highlight w:val="yellow"/>
          <w:lang w:val="ro-RO"/>
        </w:rPr>
        <w:t>Baroului.</w:t>
      </w:r>
      <w:r>
        <w:rPr>
          <w:highlight w:val="yellow"/>
          <w:lang w:val="ro-RO"/>
        </w:rPr>
        <w:t xml:space="preserve"> </w:t>
      </w:r>
      <w:r w:rsidRPr="00AB6CBD">
        <w:rPr>
          <w:highlight w:val="yellow"/>
          <w:lang w:val="ro-RO"/>
        </w:rPr>
        <w:t>În</w:t>
      </w:r>
      <w:r>
        <w:rPr>
          <w:highlight w:val="yellow"/>
          <w:lang w:val="ro-RO"/>
        </w:rPr>
        <w:t xml:space="preserve"> </w:t>
      </w:r>
      <w:r w:rsidRPr="00AB6CBD">
        <w:rPr>
          <w:highlight w:val="yellow"/>
          <w:lang w:val="ro-RO"/>
        </w:rPr>
        <w:t>ceea</w:t>
      </w:r>
      <w:r>
        <w:rPr>
          <w:highlight w:val="yellow"/>
          <w:lang w:val="ro-RO"/>
        </w:rPr>
        <w:t xml:space="preserve"> </w:t>
      </w:r>
      <w:r w:rsidRPr="00AB6CBD">
        <w:rPr>
          <w:highlight w:val="yellow"/>
          <w:lang w:val="ro-RO"/>
        </w:rPr>
        <w:t>ce</w:t>
      </w:r>
      <w:r>
        <w:rPr>
          <w:highlight w:val="yellow"/>
          <w:lang w:val="ro-RO"/>
        </w:rPr>
        <w:t xml:space="preserve"> </w:t>
      </w:r>
      <w:r w:rsidRPr="00AB6CBD">
        <w:rPr>
          <w:highlight w:val="yellow"/>
          <w:lang w:val="ro-RO"/>
        </w:rPr>
        <w:t>priveşte</w:t>
      </w:r>
      <w:r>
        <w:rPr>
          <w:highlight w:val="yellow"/>
          <w:lang w:val="ro-RO"/>
        </w:rPr>
        <w:t xml:space="preserve"> </w:t>
      </w:r>
      <w:r w:rsidRPr="00AB6CBD">
        <w:rPr>
          <w:highlight w:val="yellow"/>
          <w:lang w:val="ro-RO"/>
        </w:rPr>
        <w:t>acest</w:t>
      </w:r>
      <w:r>
        <w:rPr>
          <w:highlight w:val="yellow"/>
          <w:lang w:val="ro-RO"/>
        </w:rPr>
        <w:t xml:space="preserve"> </w:t>
      </w:r>
      <w:r w:rsidRPr="00AB6CBD">
        <w:rPr>
          <w:highlight w:val="yellow"/>
          <w:lang w:val="ro-RO"/>
        </w:rPr>
        <w:t>punct,</w:t>
      </w:r>
      <w:r>
        <w:rPr>
          <w:highlight w:val="yellow"/>
          <w:lang w:val="ro-RO"/>
        </w:rPr>
        <w:t xml:space="preserve"> </w:t>
      </w:r>
      <w:r w:rsidRPr="00AB6CBD">
        <w:rPr>
          <w:highlight w:val="yellow"/>
          <w:lang w:val="ro-RO"/>
        </w:rPr>
        <w:t>ea</w:t>
      </w:r>
      <w:r>
        <w:rPr>
          <w:highlight w:val="yellow"/>
          <w:lang w:val="ro-RO"/>
        </w:rPr>
        <w:t xml:space="preserve"> </w:t>
      </w:r>
      <w:r w:rsidRPr="00AB6CBD">
        <w:rPr>
          <w:highlight w:val="yellow"/>
          <w:lang w:val="ro-RO"/>
        </w:rPr>
        <w:t>a</w:t>
      </w:r>
      <w:r>
        <w:rPr>
          <w:highlight w:val="yellow"/>
          <w:lang w:val="ro-RO"/>
        </w:rPr>
        <w:t xml:space="preserve"> </w:t>
      </w:r>
      <w:r w:rsidRPr="00AB6CBD">
        <w:rPr>
          <w:highlight w:val="yellow"/>
          <w:lang w:val="ro-RO"/>
        </w:rPr>
        <w:t>adăugat</w:t>
      </w:r>
      <w:r>
        <w:rPr>
          <w:highlight w:val="yellow"/>
          <w:lang w:val="ro-RO"/>
        </w:rPr>
        <w:t xml:space="preserve"> </w:t>
      </w:r>
      <w:r w:rsidRPr="00AB6CBD">
        <w:rPr>
          <w:highlight w:val="yellow"/>
          <w:lang w:val="ro-RO"/>
        </w:rPr>
        <w:t>că,</w:t>
      </w:r>
      <w:r>
        <w:rPr>
          <w:highlight w:val="yellow"/>
          <w:lang w:val="ro-RO"/>
        </w:rPr>
        <w:t xml:space="preserve"> </w:t>
      </w:r>
      <w:r w:rsidRPr="00AB6CBD">
        <w:rPr>
          <w:highlight w:val="yellow"/>
          <w:lang w:val="ro-RO"/>
        </w:rPr>
        <w:t>printr-o</w:t>
      </w:r>
      <w:r>
        <w:rPr>
          <w:highlight w:val="yellow"/>
          <w:lang w:val="ro-RO"/>
        </w:rPr>
        <w:t xml:space="preserve"> </w:t>
      </w:r>
      <w:r w:rsidRPr="00AB6CBD">
        <w:rPr>
          <w:highlight w:val="yellow"/>
          <w:lang w:val="ro-RO"/>
        </w:rPr>
        <w:t>ordonanţă</w:t>
      </w:r>
      <w:r>
        <w:rPr>
          <w:highlight w:val="yellow"/>
          <w:lang w:val="ro-RO"/>
        </w:rPr>
        <w:t xml:space="preserve"> </w:t>
      </w:r>
      <w:r w:rsidRPr="00AB6CBD">
        <w:rPr>
          <w:highlight w:val="yellow"/>
          <w:lang w:val="ro-RO"/>
        </w:rPr>
        <w:t>din</w:t>
      </w:r>
      <w:r>
        <w:rPr>
          <w:highlight w:val="yellow"/>
          <w:lang w:val="ro-RO"/>
        </w:rPr>
        <w:t xml:space="preserve"> </w:t>
      </w:r>
      <w:r w:rsidRPr="00AB6CBD">
        <w:rPr>
          <w:highlight w:val="yellow"/>
          <w:lang w:val="ro-RO"/>
        </w:rPr>
        <w:t>data</w:t>
      </w:r>
      <w:r>
        <w:rPr>
          <w:highlight w:val="yellow"/>
          <w:lang w:val="ro-RO"/>
        </w:rPr>
        <w:t xml:space="preserve"> </w:t>
      </w:r>
      <w:r w:rsidRPr="00AB6CBD">
        <w:rPr>
          <w:highlight w:val="yellow"/>
          <w:lang w:val="ro-RO"/>
        </w:rPr>
        <w:t>de</w:t>
      </w:r>
      <w:r>
        <w:rPr>
          <w:highlight w:val="yellow"/>
          <w:lang w:val="ro-RO"/>
        </w:rPr>
        <w:t xml:space="preserve"> </w:t>
      </w:r>
      <w:r w:rsidRPr="00AB6CBD">
        <w:rPr>
          <w:highlight w:val="yellow"/>
          <w:lang w:val="ro-RO"/>
        </w:rPr>
        <w:t>9</w:t>
      </w:r>
      <w:r>
        <w:rPr>
          <w:highlight w:val="yellow"/>
          <w:lang w:val="ro-RO"/>
        </w:rPr>
        <w:t xml:space="preserve"> </w:t>
      </w:r>
      <w:r w:rsidRPr="00AB6CBD">
        <w:rPr>
          <w:highlight w:val="yellow"/>
          <w:lang w:val="ro-RO"/>
        </w:rPr>
        <w:t>iunie</w:t>
      </w:r>
      <w:r>
        <w:rPr>
          <w:highlight w:val="yellow"/>
          <w:lang w:val="ro-RO"/>
        </w:rPr>
        <w:t xml:space="preserve"> </w:t>
      </w:r>
      <w:r w:rsidRPr="00AB6CBD">
        <w:rPr>
          <w:highlight w:val="yellow"/>
          <w:lang w:val="ro-RO"/>
        </w:rPr>
        <w:t>2010,</w:t>
      </w:r>
      <w:r>
        <w:rPr>
          <w:highlight w:val="yellow"/>
          <w:lang w:val="ro-RO"/>
        </w:rPr>
        <w:t xml:space="preserve"> </w:t>
      </w:r>
      <w:r w:rsidRPr="00AB6CBD">
        <w:rPr>
          <w:highlight w:val="yellow"/>
          <w:lang w:val="ro-RO"/>
        </w:rPr>
        <w:t>consiliul</w:t>
      </w:r>
      <w:r>
        <w:rPr>
          <w:highlight w:val="yellow"/>
          <w:lang w:val="ro-RO"/>
        </w:rPr>
        <w:t xml:space="preserve"> </w:t>
      </w:r>
      <w:r w:rsidRPr="00AB6CBD">
        <w:rPr>
          <w:highlight w:val="yellow"/>
          <w:lang w:val="ro-RO"/>
        </w:rPr>
        <w:t>baroului</w:t>
      </w:r>
      <w:r>
        <w:rPr>
          <w:highlight w:val="yellow"/>
          <w:lang w:val="ro-RO"/>
        </w:rPr>
        <w:t xml:space="preserve"> </w:t>
      </w:r>
      <w:r w:rsidRPr="00AB6CBD">
        <w:rPr>
          <w:highlight w:val="yellow"/>
          <w:lang w:val="ro-RO"/>
        </w:rPr>
        <w:t>din</w:t>
      </w:r>
      <w:r>
        <w:rPr>
          <w:highlight w:val="yellow"/>
          <w:lang w:val="ro-RO"/>
        </w:rPr>
        <w:t xml:space="preserve"> </w:t>
      </w:r>
      <w:r w:rsidRPr="00AB6CBD">
        <w:rPr>
          <w:highlight w:val="yellow"/>
          <w:lang w:val="ro-RO"/>
        </w:rPr>
        <w:t>districtul</w:t>
      </w:r>
      <w:r>
        <w:rPr>
          <w:highlight w:val="yellow"/>
          <w:lang w:val="ro-RO"/>
        </w:rPr>
        <w:t xml:space="preserve"> </w:t>
      </w:r>
      <w:r w:rsidRPr="00AB6CBD">
        <w:rPr>
          <w:highlight w:val="yellow"/>
          <w:lang w:val="ro-RO"/>
        </w:rPr>
        <w:t>Faro</w:t>
      </w:r>
      <w:r>
        <w:rPr>
          <w:highlight w:val="yellow"/>
          <w:lang w:val="ro-RO"/>
        </w:rPr>
        <w:t xml:space="preserve"> </w:t>
      </w:r>
      <w:r w:rsidRPr="00AB6CBD">
        <w:rPr>
          <w:highlight w:val="yellow"/>
          <w:lang w:val="ro-RO"/>
        </w:rPr>
        <w:t>îi</w:t>
      </w:r>
      <w:r>
        <w:rPr>
          <w:highlight w:val="yellow"/>
          <w:lang w:val="ro-RO"/>
        </w:rPr>
        <w:t xml:space="preserve"> </w:t>
      </w:r>
      <w:r w:rsidRPr="00AB6CBD">
        <w:rPr>
          <w:highlight w:val="yellow"/>
          <w:lang w:val="ro-RO"/>
        </w:rPr>
        <w:t>interzisese</w:t>
      </w:r>
      <w:r>
        <w:rPr>
          <w:highlight w:val="yellow"/>
          <w:lang w:val="ro-RO"/>
        </w:rPr>
        <w:t xml:space="preserve"> </w:t>
      </w:r>
      <w:r w:rsidRPr="00AB6CBD">
        <w:rPr>
          <w:highlight w:val="yellow"/>
          <w:lang w:val="ro-RO"/>
        </w:rPr>
        <w:t>să</w:t>
      </w:r>
      <w:r>
        <w:rPr>
          <w:highlight w:val="yellow"/>
          <w:lang w:val="ro-RO"/>
        </w:rPr>
        <w:t xml:space="preserve"> </w:t>
      </w:r>
      <w:r w:rsidRPr="00AB6CBD">
        <w:rPr>
          <w:highlight w:val="yellow"/>
          <w:lang w:val="ro-RO"/>
        </w:rPr>
        <w:t>rupă</w:t>
      </w:r>
      <w:r>
        <w:rPr>
          <w:highlight w:val="yellow"/>
          <w:lang w:val="ro-RO"/>
        </w:rPr>
        <w:t xml:space="preserve"> </w:t>
      </w:r>
      <w:r w:rsidRPr="00AB6CBD">
        <w:rPr>
          <w:highlight w:val="yellow"/>
          <w:lang w:val="ro-RO"/>
        </w:rPr>
        <w:t>secretul</w:t>
      </w:r>
      <w:r>
        <w:rPr>
          <w:highlight w:val="yellow"/>
          <w:lang w:val="ro-RO"/>
        </w:rPr>
        <w:t xml:space="preserve"> </w:t>
      </w:r>
      <w:r w:rsidRPr="00AB6CBD">
        <w:rPr>
          <w:highlight w:val="yellow"/>
          <w:lang w:val="ro-RO"/>
        </w:rPr>
        <w:t>profesional</w:t>
      </w:r>
      <w:r>
        <w:rPr>
          <w:highlight w:val="yellow"/>
          <w:lang w:val="ro-RO"/>
        </w:rPr>
        <w:t xml:space="preserve"> </w:t>
      </w:r>
      <w:r w:rsidRPr="00AB6CBD">
        <w:rPr>
          <w:highlight w:val="yellow"/>
          <w:lang w:val="ro-RO"/>
        </w:rPr>
        <w:t>care</w:t>
      </w:r>
      <w:r>
        <w:rPr>
          <w:highlight w:val="yellow"/>
          <w:lang w:val="ro-RO"/>
        </w:rPr>
        <w:t xml:space="preserve"> </w:t>
      </w:r>
      <w:r w:rsidRPr="00AB6CBD">
        <w:rPr>
          <w:highlight w:val="yellow"/>
          <w:lang w:val="ro-RO"/>
        </w:rPr>
        <w:t>se</w:t>
      </w:r>
      <w:r>
        <w:rPr>
          <w:highlight w:val="yellow"/>
          <w:lang w:val="ro-RO"/>
        </w:rPr>
        <w:t xml:space="preserve"> </w:t>
      </w:r>
      <w:r w:rsidRPr="00AB6CBD">
        <w:rPr>
          <w:highlight w:val="yellow"/>
          <w:lang w:val="ro-RO"/>
        </w:rPr>
        <w:t>aplica</w:t>
      </w:r>
      <w:r>
        <w:rPr>
          <w:highlight w:val="yellow"/>
          <w:lang w:val="ro-RO"/>
        </w:rPr>
        <w:t xml:space="preserve"> </w:t>
      </w:r>
      <w:r w:rsidRPr="00AB6CBD">
        <w:rPr>
          <w:highlight w:val="yellow"/>
          <w:lang w:val="ro-RO"/>
        </w:rPr>
        <w:t>extraselor</w:t>
      </w:r>
      <w:r>
        <w:rPr>
          <w:lang w:val="ro-RO"/>
        </w:rPr>
        <w:t xml:space="preserve"> conturilor sale bancare pentru anul </w:t>
      </w:r>
      <w:r w:rsidRPr="00054DEE">
        <w:rPr>
          <w:lang w:val="ro-RO"/>
        </w:rPr>
        <w:t>2006.</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40</w:t>
      </w:r>
      <w:r w:rsidRPr="00054DEE">
        <w:rPr>
          <w:lang w:val="ro-RO"/>
        </w:rPr>
        <w:fldChar w:fldCharType="end"/>
      </w:r>
      <w:r w:rsidRPr="00054DEE">
        <w:rPr>
          <w:lang w:val="ro-RO"/>
        </w:rPr>
        <w:t>.</w:t>
      </w:r>
      <w:r>
        <w:rPr>
          <w:lang w:val="ro-RO"/>
        </w:rPr>
        <w:t xml:space="preserve"> Guvernul nu contestă că a existat o imixtiune în viaţa privată a reclamantei având în vedere consultarea extraselor conturilor sale bancare personale</w:t>
      </w:r>
      <w:r w:rsidRPr="00054DEE">
        <w:rPr>
          <w:lang w:val="ro-RO"/>
        </w:rPr>
        <w:t>.</w:t>
      </w:r>
      <w:r>
        <w:rPr>
          <w:lang w:val="ro-RO"/>
        </w:rPr>
        <w:t xml:space="preserve"> Totuşi, el estimează că această imixtiune era prevăzută în articolul </w:t>
      </w:r>
      <w:r w:rsidRPr="00054DEE">
        <w:rPr>
          <w:lang w:val="ro-RO"/>
        </w:rPr>
        <w:t>135</w:t>
      </w:r>
      <w:r>
        <w:rPr>
          <w:lang w:val="ro-RO"/>
        </w:rPr>
        <w:t xml:space="preserve"> din CPP şi era necesară având în vedere că viza descoperirea adevărului în cadrul unei proceduri penale şi a bunei administrări a justiţiei</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41</w:t>
      </w:r>
      <w:r w:rsidRPr="00054DEE">
        <w:rPr>
          <w:lang w:val="ro-RO"/>
        </w:rPr>
        <w:fldChar w:fldCharType="end"/>
      </w:r>
      <w:r w:rsidRPr="00054DEE">
        <w:rPr>
          <w:lang w:val="ro-RO"/>
        </w:rPr>
        <w:t>.</w:t>
      </w:r>
      <w:r>
        <w:rPr>
          <w:lang w:val="ro-RO"/>
        </w:rPr>
        <w:t xml:space="preserve"> Guvernul consideră, de asemenea, că măsura a fost proporțională</w:t>
      </w:r>
      <w:r w:rsidRPr="00054DEE">
        <w:rPr>
          <w:lang w:val="ro-RO"/>
        </w:rPr>
        <w:t>.</w:t>
      </w:r>
      <w:r>
        <w:rPr>
          <w:lang w:val="ro-RO"/>
        </w:rPr>
        <w:t xml:space="preserve"> El expune faptul că, în urma refuzului reclamantei de a prezenta extrasele conturilor sale bancare în cadrul procedurii penale din acest dosar</w:t>
      </w:r>
      <w:r w:rsidRPr="00054DEE">
        <w:rPr>
          <w:lang w:val="ro-RO"/>
        </w:rPr>
        <w:t>,</w:t>
      </w:r>
      <w:r>
        <w:rPr>
          <w:lang w:val="ro-RO"/>
        </w:rPr>
        <w:t xml:space="preserve"> ministerul </w:t>
      </w:r>
      <w:r w:rsidRPr="00054DEE">
        <w:rPr>
          <w:lang w:val="ro-RO"/>
        </w:rPr>
        <w:t>public</w:t>
      </w:r>
      <w:r>
        <w:rPr>
          <w:lang w:val="ro-RO"/>
        </w:rPr>
        <w:t xml:space="preserve"> a sesizat judecătorul de instrucţie privind o cerere făcută în scopul examinării caracterului legitim al scuzei</w:t>
      </w:r>
      <w:r w:rsidRPr="00054DEE">
        <w:rPr>
          <w:lang w:val="ro-RO"/>
        </w:rPr>
        <w:t>.</w:t>
      </w:r>
      <w:r>
        <w:rPr>
          <w:lang w:val="ro-RO"/>
        </w:rPr>
        <w:t xml:space="preserve"> Recunoscând acest lucru</w:t>
      </w:r>
      <w:r w:rsidRPr="00054DEE">
        <w:rPr>
          <w:lang w:val="ro-RO"/>
        </w:rPr>
        <w:t>,</w:t>
      </w:r>
      <w:r>
        <w:rPr>
          <w:lang w:val="ro-RO"/>
        </w:rPr>
        <w:t xml:space="preserve"> ministerul </w:t>
      </w:r>
      <w:r w:rsidRPr="00054DEE">
        <w:rPr>
          <w:lang w:val="ro-RO"/>
        </w:rPr>
        <w:t>public</w:t>
      </w:r>
      <w:r>
        <w:rPr>
          <w:lang w:val="ro-RO"/>
        </w:rPr>
        <w:t xml:space="preserve"> a înaintat speţa curţii de apel din </w:t>
      </w:r>
      <w:r w:rsidRPr="00054DEE">
        <w:rPr>
          <w:lang w:val="ro-RO"/>
        </w:rPr>
        <w:t>Évora</w:t>
      </w:r>
      <w:r>
        <w:rPr>
          <w:lang w:val="ro-RO"/>
        </w:rPr>
        <w:t xml:space="preserve"> care a considerat că ar fi trebuit ca aceasta să dispună ridicarea secretului profesional</w:t>
      </w:r>
      <w:r w:rsidRPr="00054DEE">
        <w:rPr>
          <w:lang w:val="ro-RO"/>
        </w:rPr>
        <w:t>,</w:t>
      </w:r>
      <w:r>
        <w:rPr>
          <w:lang w:val="ro-RO"/>
        </w:rPr>
        <w:t xml:space="preserve"> descoperirea adevărului material în cadrul procedurii penale a şefului antifraudă fiscală impunând acest lucru</w:t>
      </w:r>
      <w:r w:rsidRPr="00054DEE">
        <w:rPr>
          <w:lang w:val="ro-RO"/>
        </w:rPr>
        <w:t>.</w:t>
      </w:r>
      <w:r>
        <w:rPr>
          <w:lang w:val="ro-RO"/>
        </w:rPr>
        <w:t xml:space="preserve"> Guvernul estimează că reclamanta nu dispunea de dreptul de a face apel împotriva curţii de apel din </w:t>
      </w:r>
      <w:r w:rsidRPr="00054DEE">
        <w:rPr>
          <w:lang w:val="ro-RO"/>
        </w:rPr>
        <w:t>Évora</w:t>
      </w:r>
      <w:r>
        <w:rPr>
          <w:lang w:val="ro-RO"/>
        </w:rPr>
        <w:t xml:space="preserve"> având în vedere că aceasta nu se pronunţase în primă instanţă conform prevederilor Art. </w:t>
      </w:r>
      <w:r w:rsidRPr="00054DEE">
        <w:rPr>
          <w:lang w:val="ro-RO"/>
        </w:rPr>
        <w:t>432</w:t>
      </w:r>
      <w:r>
        <w:rPr>
          <w:lang w:val="ro-RO"/>
        </w:rPr>
        <w:t xml:space="preserve"> </w:t>
      </w:r>
      <w:r w:rsidRPr="00054DEE">
        <w:rPr>
          <w:lang w:val="ro-RO"/>
        </w:rPr>
        <w:t>§</w:t>
      </w:r>
      <w:r>
        <w:rPr>
          <w:lang w:val="ro-RO"/>
        </w:rPr>
        <w:t xml:space="preserve"> </w:t>
      </w:r>
      <w:r w:rsidRPr="00054DEE">
        <w:rPr>
          <w:lang w:val="ro-RO"/>
        </w:rPr>
        <w:t>1</w:t>
      </w:r>
      <w:r>
        <w:rPr>
          <w:lang w:val="ro-RO"/>
        </w:rPr>
        <w:t xml:space="preserve"> </w:t>
      </w:r>
      <w:r w:rsidRPr="00054DEE">
        <w:rPr>
          <w:lang w:val="ro-RO"/>
        </w:rPr>
        <w:t>a)</w:t>
      </w:r>
      <w:r>
        <w:rPr>
          <w:lang w:val="ro-RO"/>
        </w:rPr>
        <w:t xml:space="preserve"> din CPP</w:t>
      </w:r>
      <w:r w:rsidRPr="00054DEE">
        <w:rPr>
          <w:lang w:val="ro-RO"/>
        </w:rPr>
        <w:t>.</w:t>
      </w:r>
      <w:r>
        <w:rPr>
          <w:lang w:val="ro-RO"/>
        </w:rPr>
        <w:t xml:space="preserve"> În sprijinul argumentului său</w:t>
      </w:r>
      <w:r w:rsidRPr="00054DEE">
        <w:rPr>
          <w:lang w:val="ro-RO"/>
        </w:rPr>
        <w:t>,</w:t>
      </w:r>
      <w:r>
        <w:rPr>
          <w:lang w:val="ro-RO"/>
        </w:rPr>
        <w:t xml:space="preserve"> Guvernul se referă la o hotărâre a Curţii Supreme din data de </w:t>
      </w:r>
      <w:r w:rsidRPr="00054DEE">
        <w:rPr>
          <w:lang w:val="ro-RO"/>
        </w:rPr>
        <w:t>12</w:t>
      </w:r>
      <w:r>
        <w:rPr>
          <w:lang w:val="ro-RO"/>
        </w:rPr>
        <w:t xml:space="preserve"> iulie </w:t>
      </w:r>
      <w:r w:rsidRPr="00054DEE">
        <w:rPr>
          <w:lang w:val="ro-RO"/>
        </w:rPr>
        <w:t>2005</w:t>
      </w:r>
      <w:r>
        <w:rPr>
          <w:lang w:val="ro-RO"/>
        </w:rPr>
        <w:t xml:space="preserve"> pronunţată în cadrul unui dosar asemănător </w:t>
      </w:r>
      <w:r w:rsidRPr="00054DEE">
        <w:rPr>
          <w:lang w:val="ro-RO"/>
        </w:rPr>
        <w:t>(</w:t>
      </w:r>
      <w:r>
        <w:rPr>
          <w:lang w:val="ro-RO"/>
        </w:rPr>
        <w:t xml:space="preserve">a se vedea paragraful </w:t>
      </w:r>
      <w:r w:rsidRPr="00054DEE">
        <w:rPr>
          <w:lang w:val="ro-RO"/>
        </w:rPr>
        <w:t>24</w:t>
      </w:r>
      <w:r>
        <w:rPr>
          <w:lang w:val="ro-RO"/>
        </w:rPr>
        <w:t xml:space="preserve"> de mai sus</w:t>
      </w:r>
      <w:r w:rsidRPr="00054DEE">
        <w:rPr>
          <w:lang w:val="ro-RO"/>
        </w:rPr>
        <w:t>).</w:t>
      </w:r>
    </w:p>
    <w:p w:rsidR="00886CFB" w:rsidRPr="00054DEE" w:rsidRDefault="00886CFB" w:rsidP="00906B0E">
      <w:pPr>
        <w:pStyle w:val="ECHRHeading3"/>
        <w:rPr>
          <w:lang w:val="ro-RO"/>
        </w:rPr>
      </w:pPr>
      <w:r w:rsidRPr="00054DEE">
        <w:rPr>
          <w:lang w:val="ro-RO"/>
        </w:rPr>
        <w:t>2.</w:t>
      </w:r>
      <w:r>
        <w:rPr>
          <w:lang w:val="ro-RO"/>
        </w:rPr>
        <w:t xml:space="preserve"> Aprecierea Curţii</w:t>
      </w:r>
    </w:p>
    <w:p w:rsidR="00886CFB" w:rsidRPr="00054DEE" w:rsidRDefault="00886CFB" w:rsidP="00906B0E">
      <w:pPr>
        <w:pStyle w:val="ECHRHeading4"/>
        <w:rPr>
          <w:lang w:val="ro-RO"/>
        </w:rPr>
      </w:pPr>
      <w:r w:rsidRPr="00054DEE">
        <w:rPr>
          <w:lang w:val="ro-RO"/>
        </w:rPr>
        <w:t>a)</w:t>
      </w:r>
      <w:r>
        <w:rPr>
          <w:lang w:val="ro-RO"/>
        </w:rPr>
        <w:t xml:space="preserve"> În legătură cu o posibilă imixtiune</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42</w:t>
      </w:r>
      <w:r w:rsidRPr="00054DEE">
        <w:rPr>
          <w:lang w:val="ro-RO"/>
        </w:rPr>
        <w:fldChar w:fldCharType="end"/>
      </w:r>
      <w:r w:rsidRPr="00054DEE">
        <w:rPr>
          <w:lang w:val="ro-RO"/>
        </w:rPr>
        <w:t>.</w:t>
      </w:r>
      <w:r>
        <w:rPr>
          <w:lang w:val="ro-RO"/>
        </w:rPr>
        <w:t xml:space="preserve"> Părţile sunt de acord că datele bancare ale reclamantei constituie informaţii personale legate de viaţa sa privată</w:t>
      </w:r>
      <w:r w:rsidRPr="00054DEE">
        <w:rPr>
          <w:lang w:val="ro-RO"/>
        </w:rPr>
        <w:t>,</w:t>
      </w:r>
      <w:r>
        <w:rPr>
          <w:lang w:val="ro-RO"/>
        </w:rPr>
        <w:t xml:space="preserve"> încadrându-se în domeniul de aplicare al articolului </w:t>
      </w:r>
      <w:r w:rsidRPr="00054DEE">
        <w:rPr>
          <w:lang w:val="ro-RO"/>
        </w:rPr>
        <w:t>8</w:t>
      </w:r>
      <w:r>
        <w:rPr>
          <w:lang w:val="ro-RO"/>
        </w:rPr>
        <w:t xml:space="preserve"> din Convenţie</w:t>
      </w:r>
      <w:r w:rsidRPr="00054DEE">
        <w:rPr>
          <w:lang w:val="ro-RO"/>
        </w:rPr>
        <w:t>.</w:t>
      </w:r>
      <w:r>
        <w:rPr>
          <w:lang w:val="ro-RO"/>
        </w:rPr>
        <w:t xml:space="preserve"> Ele sunt de acord, se asemenea, să recunoască faptul că a existat o imixtiune în exercitarea de către reclamantă </w:t>
      </w:r>
      <w:r>
        <w:rPr>
          <w:lang w:val="ro-RO"/>
        </w:rPr>
        <w:lastRenderedPageBreak/>
        <w:t>a dreptului său la respect pentru viaţa privată</w:t>
      </w:r>
      <w:r w:rsidRPr="00054DEE">
        <w:rPr>
          <w:lang w:val="ro-RO"/>
        </w:rPr>
        <w:t>.</w:t>
      </w:r>
      <w:r>
        <w:rPr>
          <w:lang w:val="ro-RO"/>
        </w:rPr>
        <w:t xml:space="preserve"> Curtea notează, de asemenea, că jurisdicţiile interne nu au contestat că informaţiile bancare erau acoperite de secretul profesional având în vedere mai ales faptul că reclamanta primise sumele transferate de clienţii ei în contul bancar personal </w:t>
      </w:r>
      <w:r w:rsidRPr="00054DEE">
        <w:rPr>
          <w:lang w:val="ro-RO"/>
        </w:rPr>
        <w:t>(</w:t>
      </w:r>
      <w:r>
        <w:rPr>
          <w:lang w:val="ro-RO"/>
        </w:rPr>
        <w:t xml:space="preserve">a se vedea mai sus paragrafele </w:t>
      </w:r>
      <w:r w:rsidRPr="00054DEE">
        <w:rPr>
          <w:lang w:val="ro-RO"/>
        </w:rPr>
        <w:t>9,</w:t>
      </w:r>
      <w:r>
        <w:rPr>
          <w:lang w:val="ro-RO"/>
        </w:rPr>
        <w:t xml:space="preserve"> </w:t>
      </w:r>
      <w:r w:rsidRPr="00054DEE">
        <w:rPr>
          <w:lang w:val="ro-RO"/>
        </w:rPr>
        <w:t>10</w:t>
      </w:r>
      <w:r>
        <w:rPr>
          <w:lang w:val="ro-RO"/>
        </w:rPr>
        <w:t xml:space="preserve"> şi </w:t>
      </w:r>
      <w:r w:rsidRPr="00054DEE">
        <w:rPr>
          <w:lang w:val="ro-RO"/>
        </w:rPr>
        <w:t>12).</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43</w:t>
      </w:r>
      <w:r w:rsidRPr="00054DEE">
        <w:rPr>
          <w:lang w:val="ro-RO"/>
        </w:rPr>
        <w:fldChar w:fldCharType="end"/>
      </w:r>
      <w:r w:rsidRPr="00054DEE">
        <w:rPr>
          <w:lang w:val="ro-RO"/>
        </w:rPr>
        <w:t>.</w:t>
      </w:r>
      <w:r>
        <w:rPr>
          <w:lang w:val="ro-RO"/>
        </w:rPr>
        <w:t xml:space="preserve"> Curtea nu vede niciun motiv pentru a concluziona altceva</w:t>
      </w:r>
      <w:r w:rsidRPr="00054DEE">
        <w:rPr>
          <w:lang w:val="ro-RO"/>
        </w:rPr>
        <w:t>.</w:t>
      </w:r>
      <w:r>
        <w:rPr>
          <w:lang w:val="ro-RO"/>
        </w:rPr>
        <w:t xml:space="preserve"> Ea reaminteşte că noţiunea de „viaţă privată” poate include activităţi profesionale sau comerciale </w:t>
      </w:r>
      <w:r w:rsidRPr="00054DEE">
        <w:rPr>
          <w:lang w:val="ro-RO"/>
        </w:rPr>
        <w:t>(</w:t>
      </w:r>
      <w:r w:rsidRPr="00054DEE">
        <w:rPr>
          <w:i/>
          <w:lang w:val="ro-RO"/>
        </w:rPr>
        <w:t>Niemietz</w:t>
      </w:r>
      <w:r>
        <w:rPr>
          <w:i/>
          <w:lang w:val="ro-RO"/>
        </w:rPr>
        <w:t xml:space="preserve"> </w:t>
      </w:r>
      <w:r w:rsidRPr="00054DEE">
        <w:rPr>
          <w:i/>
          <w:lang w:val="ro-RO"/>
        </w:rPr>
        <w:t>c.</w:t>
      </w:r>
      <w:r>
        <w:rPr>
          <w:i/>
          <w:lang w:val="ro-RO"/>
        </w:rPr>
        <w:t xml:space="preserve"> </w:t>
      </w:r>
      <w:r w:rsidRPr="00054DEE">
        <w:rPr>
          <w:i/>
          <w:lang w:val="ro-RO"/>
        </w:rPr>
        <w:t>Allemagne</w:t>
      </w:r>
      <w:r w:rsidRPr="00054DEE">
        <w:rPr>
          <w:lang w:val="ro-RO"/>
        </w:rPr>
        <w:t>,</w:t>
      </w:r>
      <w:r>
        <w:rPr>
          <w:lang w:val="ro-RO"/>
        </w:rPr>
        <w:t xml:space="preserve"> </w:t>
      </w:r>
      <w:r w:rsidRPr="00054DEE">
        <w:rPr>
          <w:lang w:val="ro-RO"/>
        </w:rPr>
        <w:t>16</w:t>
      </w:r>
      <w:r>
        <w:rPr>
          <w:lang w:val="ro-RO"/>
        </w:rPr>
        <w:t xml:space="preserve"> decembrie </w:t>
      </w:r>
      <w:r w:rsidRPr="00054DEE">
        <w:rPr>
          <w:lang w:val="ro-RO"/>
        </w:rPr>
        <w:t>1992,</w:t>
      </w:r>
      <w:r>
        <w:rPr>
          <w:lang w:val="ro-RO"/>
        </w:rPr>
        <w:t xml:space="preserve"> </w:t>
      </w:r>
      <w:r w:rsidRPr="00054DEE">
        <w:rPr>
          <w:lang w:val="ro-RO"/>
        </w:rPr>
        <w:t>§</w:t>
      </w:r>
      <w:r>
        <w:rPr>
          <w:lang w:val="ro-RO"/>
        </w:rPr>
        <w:t xml:space="preserve"> </w:t>
      </w:r>
      <w:r w:rsidRPr="00054DEE">
        <w:rPr>
          <w:lang w:val="ro-RO"/>
        </w:rPr>
        <w:t>29,</w:t>
      </w:r>
      <w:r>
        <w:rPr>
          <w:lang w:val="ro-RO"/>
        </w:rPr>
        <w:t xml:space="preserve"> seria </w:t>
      </w:r>
      <w:r w:rsidRPr="00054DEE">
        <w:rPr>
          <w:lang w:val="ro-RO"/>
        </w:rPr>
        <w:t>A</w:t>
      </w:r>
      <w:r>
        <w:rPr>
          <w:lang w:val="ro-RO"/>
        </w:rPr>
        <w:t xml:space="preserve"> nr. </w:t>
      </w:r>
      <w:r w:rsidRPr="00054DEE">
        <w:rPr>
          <w:lang w:val="ro-RO"/>
        </w:rPr>
        <w:t>251</w:t>
      </w:r>
      <w:r w:rsidRPr="00054DEE">
        <w:rPr>
          <w:lang w:val="ro-RO"/>
        </w:rPr>
        <w:noBreakHyphen/>
        <w:t>B).</w:t>
      </w:r>
      <w:r>
        <w:rPr>
          <w:lang w:val="ro-RO"/>
        </w:rPr>
        <w:t xml:space="preserve"> De asemenea</w:t>
      </w:r>
      <w:r w:rsidRPr="00054DEE">
        <w:rPr>
          <w:lang w:val="ro-RO"/>
        </w:rPr>
        <w:t>,</w:t>
      </w:r>
      <w:r>
        <w:rPr>
          <w:lang w:val="ro-RO"/>
        </w:rPr>
        <w:t xml:space="preserve"> ea „acordă o importanţă unică riscului de aducere atingere secretului profesional al avocaţilor deoarece acesta se bazează pe relaţia dintre avocat şi clientul său </w:t>
      </w:r>
      <w:r w:rsidRPr="00054DEE">
        <w:rPr>
          <w:lang w:val="ro-RO"/>
        </w:rPr>
        <w:t>(</w:t>
      </w:r>
      <w:r w:rsidRPr="00054DEE">
        <w:rPr>
          <w:i/>
          <w:lang w:val="ro-RO"/>
        </w:rPr>
        <w:t>André</w:t>
      </w:r>
      <w:r>
        <w:rPr>
          <w:i/>
          <w:lang w:val="ro-RO"/>
        </w:rPr>
        <w:t xml:space="preserve"> şi </w:t>
      </w:r>
      <w:r w:rsidRPr="00054DEE">
        <w:rPr>
          <w:i/>
          <w:lang w:val="ro-RO"/>
        </w:rPr>
        <w:t>autre</w:t>
      </w:r>
      <w:r>
        <w:rPr>
          <w:i/>
          <w:lang w:val="ro-RO"/>
        </w:rPr>
        <w:t xml:space="preserve"> </w:t>
      </w:r>
      <w:r w:rsidRPr="00054DEE">
        <w:rPr>
          <w:i/>
          <w:lang w:val="ro-RO"/>
        </w:rPr>
        <w:t>c.</w:t>
      </w:r>
      <w:r>
        <w:rPr>
          <w:i/>
          <w:lang w:val="ro-RO"/>
        </w:rPr>
        <w:t xml:space="preserve"> </w:t>
      </w:r>
      <w:r w:rsidRPr="00054DEE">
        <w:rPr>
          <w:i/>
          <w:lang w:val="ro-RO"/>
        </w:rPr>
        <w:t>France</w:t>
      </w:r>
      <w:r w:rsidRPr="00054DEE">
        <w:rPr>
          <w:lang w:val="ro-RO"/>
        </w:rPr>
        <w:t>,</w:t>
      </w:r>
      <w:r>
        <w:rPr>
          <w:lang w:val="ro-RO"/>
        </w:rPr>
        <w:t xml:space="preserve"> nr. </w:t>
      </w:r>
      <w:r w:rsidRPr="00054DEE">
        <w:rPr>
          <w:lang w:val="ro-RO"/>
        </w:rPr>
        <w:t>18603/03,</w:t>
      </w:r>
      <w:r>
        <w:rPr>
          <w:lang w:val="ro-RO"/>
        </w:rPr>
        <w:t xml:space="preserve"> </w:t>
      </w:r>
      <w:r w:rsidRPr="00054DEE">
        <w:rPr>
          <w:lang w:val="ro-RO"/>
        </w:rPr>
        <w:t>§</w:t>
      </w:r>
      <w:r>
        <w:rPr>
          <w:lang w:val="ro-RO"/>
        </w:rPr>
        <w:t xml:space="preserve"> </w:t>
      </w:r>
      <w:r w:rsidRPr="00054DEE">
        <w:rPr>
          <w:lang w:val="ro-RO"/>
        </w:rPr>
        <w:t>41,</w:t>
      </w:r>
      <w:r>
        <w:rPr>
          <w:lang w:val="ro-RO"/>
        </w:rPr>
        <w:t xml:space="preserve"> </w:t>
      </w:r>
      <w:r w:rsidRPr="00054DEE">
        <w:rPr>
          <w:lang w:val="ro-RO"/>
        </w:rPr>
        <w:t>24</w:t>
      </w:r>
      <w:r>
        <w:rPr>
          <w:lang w:val="ro-RO"/>
        </w:rPr>
        <w:t xml:space="preserve"> iulie </w:t>
      </w:r>
      <w:r w:rsidRPr="00054DEE">
        <w:rPr>
          <w:lang w:val="ro-RO"/>
        </w:rPr>
        <w:t>2008</w:t>
      </w:r>
      <w:r>
        <w:rPr>
          <w:lang w:val="ro-RO"/>
        </w:rPr>
        <w:t xml:space="preserve"> şi </w:t>
      </w:r>
      <w:r w:rsidRPr="00054DEE">
        <w:rPr>
          <w:i/>
          <w:lang w:val="ro-RO"/>
        </w:rPr>
        <w:t>Xavier</w:t>
      </w:r>
      <w:r>
        <w:rPr>
          <w:i/>
          <w:lang w:val="ro-RO"/>
        </w:rPr>
        <w:t xml:space="preserve"> </w:t>
      </w:r>
      <w:r w:rsidRPr="00054DEE">
        <w:rPr>
          <w:i/>
          <w:lang w:val="ro-RO"/>
        </w:rPr>
        <w:t>da</w:t>
      </w:r>
      <w:r>
        <w:rPr>
          <w:i/>
          <w:lang w:val="ro-RO"/>
        </w:rPr>
        <w:t xml:space="preserve"> </w:t>
      </w:r>
      <w:r w:rsidRPr="00054DEE">
        <w:rPr>
          <w:i/>
          <w:lang w:val="ro-RO"/>
        </w:rPr>
        <w:t>Silveira</w:t>
      </w:r>
      <w:r>
        <w:rPr>
          <w:i/>
          <w:lang w:val="ro-RO"/>
        </w:rPr>
        <w:t xml:space="preserve"> </w:t>
      </w:r>
      <w:r w:rsidRPr="00054DEE">
        <w:rPr>
          <w:i/>
          <w:lang w:val="ro-RO"/>
        </w:rPr>
        <w:t>c.</w:t>
      </w:r>
      <w:r>
        <w:rPr>
          <w:i/>
          <w:lang w:val="ro-RO"/>
        </w:rPr>
        <w:t xml:space="preserve"> </w:t>
      </w:r>
      <w:r w:rsidRPr="00054DEE">
        <w:rPr>
          <w:i/>
          <w:lang w:val="ro-RO"/>
        </w:rPr>
        <w:t>France</w:t>
      </w:r>
      <w:r w:rsidRPr="00054DEE">
        <w:rPr>
          <w:lang w:val="ro-RO"/>
        </w:rPr>
        <w:t>,</w:t>
      </w:r>
      <w:r>
        <w:rPr>
          <w:lang w:val="ro-RO"/>
        </w:rPr>
        <w:t xml:space="preserve"> nr. </w:t>
      </w:r>
      <w:r w:rsidRPr="00054DEE">
        <w:rPr>
          <w:lang w:val="ro-RO"/>
        </w:rPr>
        <w:t>43757/05,</w:t>
      </w:r>
      <w:r>
        <w:rPr>
          <w:lang w:val="ro-RO"/>
        </w:rPr>
        <w:t xml:space="preserve"> </w:t>
      </w:r>
      <w:r w:rsidRPr="00054DEE">
        <w:rPr>
          <w:lang w:val="ro-RO"/>
        </w:rPr>
        <w:t>§</w:t>
      </w:r>
      <w:r>
        <w:rPr>
          <w:lang w:val="ro-RO"/>
        </w:rPr>
        <w:t xml:space="preserve"> </w:t>
      </w:r>
      <w:r w:rsidRPr="00054DEE">
        <w:rPr>
          <w:lang w:val="ro-RO"/>
        </w:rPr>
        <w:t>36,</w:t>
      </w:r>
      <w:r>
        <w:rPr>
          <w:lang w:val="ro-RO"/>
        </w:rPr>
        <w:t xml:space="preserve"> </w:t>
      </w:r>
      <w:r w:rsidRPr="00054DEE">
        <w:rPr>
          <w:lang w:val="ro-RO"/>
        </w:rPr>
        <w:t>21</w:t>
      </w:r>
      <w:r>
        <w:rPr>
          <w:lang w:val="ro-RO"/>
        </w:rPr>
        <w:t xml:space="preserve"> ianuarie </w:t>
      </w:r>
      <w:r w:rsidRPr="00054DEE">
        <w:rPr>
          <w:lang w:val="ro-RO"/>
        </w:rPr>
        <w:t>2010)</w:t>
      </w:r>
      <w:r>
        <w:rPr>
          <w:lang w:val="ro-RO"/>
        </w:rPr>
        <w:t xml:space="preserve"> şi poate avea repercusiuni asupra bunei administrări a justiţiei” </w:t>
      </w:r>
      <w:r w:rsidRPr="00054DEE">
        <w:rPr>
          <w:lang w:val="ro-RO"/>
        </w:rPr>
        <w:t>(</w:t>
      </w:r>
      <w:r w:rsidRPr="00054DEE">
        <w:rPr>
          <w:i/>
          <w:lang w:val="ro-RO"/>
        </w:rPr>
        <w:t>Wieser</w:t>
      </w:r>
      <w:r>
        <w:rPr>
          <w:i/>
          <w:lang w:val="ro-RO"/>
        </w:rPr>
        <w:t xml:space="preserve"> şi </w:t>
      </w:r>
      <w:r w:rsidRPr="00054DEE">
        <w:rPr>
          <w:i/>
          <w:lang w:val="ro-RO"/>
        </w:rPr>
        <w:t>Bicos</w:t>
      </w:r>
      <w:r>
        <w:rPr>
          <w:i/>
          <w:lang w:val="ro-RO"/>
        </w:rPr>
        <w:t xml:space="preserve"> </w:t>
      </w:r>
      <w:r w:rsidRPr="00054DEE">
        <w:rPr>
          <w:i/>
          <w:lang w:val="ro-RO"/>
        </w:rPr>
        <w:t>Beteiligungen</w:t>
      </w:r>
      <w:r>
        <w:rPr>
          <w:i/>
          <w:lang w:val="ro-RO"/>
        </w:rPr>
        <w:t xml:space="preserve"> </w:t>
      </w:r>
      <w:r w:rsidRPr="00054DEE">
        <w:rPr>
          <w:i/>
          <w:lang w:val="ro-RO"/>
        </w:rPr>
        <w:t>GmbH</w:t>
      </w:r>
      <w:r>
        <w:rPr>
          <w:i/>
          <w:lang w:val="ro-RO"/>
        </w:rPr>
        <w:t xml:space="preserve"> </w:t>
      </w:r>
      <w:r w:rsidRPr="00054DEE">
        <w:rPr>
          <w:i/>
          <w:lang w:val="ro-RO"/>
        </w:rPr>
        <w:t>c.</w:t>
      </w:r>
      <w:r>
        <w:rPr>
          <w:i/>
          <w:lang w:val="ro-RO"/>
        </w:rPr>
        <w:t xml:space="preserve"> </w:t>
      </w:r>
      <w:r w:rsidRPr="00054DEE">
        <w:rPr>
          <w:i/>
          <w:lang w:val="ro-RO"/>
        </w:rPr>
        <w:t>Autriche</w:t>
      </w:r>
      <w:r w:rsidRPr="00054DEE">
        <w:rPr>
          <w:lang w:val="ro-RO"/>
        </w:rPr>
        <w:t>,</w:t>
      </w:r>
      <w:r>
        <w:rPr>
          <w:lang w:val="ro-RO"/>
        </w:rPr>
        <w:t xml:space="preserve"> nr. </w:t>
      </w:r>
      <w:r w:rsidRPr="00054DEE">
        <w:rPr>
          <w:lang w:val="ro-RO"/>
        </w:rPr>
        <w:t>74336/01,</w:t>
      </w:r>
      <w:r>
        <w:rPr>
          <w:lang w:val="ro-RO"/>
        </w:rPr>
        <w:t xml:space="preserve"> </w:t>
      </w:r>
      <w:r w:rsidRPr="00054DEE">
        <w:rPr>
          <w:lang w:val="ro-RO"/>
        </w:rPr>
        <w:t>§§</w:t>
      </w:r>
      <w:r>
        <w:rPr>
          <w:lang w:val="ro-RO"/>
        </w:rPr>
        <w:t xml:space="preserve"> </w:t>
      </w:r>
      <w:r w:rsidRPr="00054DEE">
        <w:rPr>
          <w:lang w:val="ro-RO"/>
        </w:rPr>
        <w:t>65-66,</w:t>
      </w:r>
      <w:r>
        <w:rPr>
          <w:lang w:val="ro-RO"/>
        </w:rPr>
        <w:t xml:space="preserve"> </w:t>
      </w:r>
      <w:r w:rsidRPr="00054DEE">
        <w:rPr>
          <w:lang w:val="ro-RO"/>
        </w:rPr>
        <w:t>CEDH</w:t>
      </w:r>
      <w:r>
        <w:rPr>
          <w:lang w:val="ro-RO"/>
        </w:rPr>
        <w:t xml:space="preserve"> </w:t>
      </w:r>
      <w:r w:rsidRPr="00054DEE">
        <w:rPr>
          <w:lang w:val="ro-RO"/>
        </w:rPr>
        <w:t>2007</w:t>
      </w:r>
      <w:r w:rsidRPr="00054DEE">
        <w:rPr>
          <w:lang w:val="ro-RO"/>
        </w:rPr>
        <w:noBreakHyphen/>
        <w:t>IV;</w:t>
      </w:r>
      <w:r>
        <w:rPr>
          <w:lang w:val="ro-RO"/>
        </w:rPr>
        <w:t xml:space="preserve"> </w:t>
      </w:r>
      <w:r w:rsidRPr="00054DEE">
        <w:rPr>
          <w:i/>
          <w:lang w:val="ro-RO"/>
        </w:rPr>
        <w:t>Niemietz</w:t>
      </w:r>
      <w:r w:rsidRPr="00054DEE">
        <w:rPr>
          <w:lang w:val="ro-RO"/>
        </w:rPr>
        <w:t>,</w:t>
      </w:r>
      <w:r>
        <w:rPr>
          <w:lang w:val="ro-RO"/>
        </w:rPr>
        <w:t xml:space="preserve"> citat mai sus, § 37 şi </w:t>
      </w:r>
      <w:r w:rsidRPr="00054DEE">
        <w:rPr>
          <w:i/>
          <w:lang w:val="ro-RO"/>
        </w:rPr>
        <w:t>André</w:t>
      </w:r>
      <w:r>
        <w:rPr>
          <w:lang w:val="ro-RO"/>
        </w:rPr>
        <w:t xml:space="preserve"> şi </w:t>
      </w:r>
      <w:r>
        <w:rPr>
          <w:i/>
          <w:lang w:val="ro-RO"/>
        </w:rPr>
        <w:t>alţii</w:t>
      </w:r>
      <w:r w:rsidRPr="00054DEE">
        <w:rPr>
          <w:lang w:val="ro-RO"/>
        </w:rPr>
        <w:t>,</w:t>
      </w:r>
      <w:r>
        <w:rPr>
          <w:lang w:val="ro-RO"/>
        </w:rPr>
        <w:t xml:space="preserve"> citat mai sus la </w:t>
      </w:r>
      <w:r w:rsidRPr="00054DEE">
        <w:rPr>
          <w:lang w:val="ro-RO"/>
        </w:rPr>
        <w:t>§</w:t>
      </w:r>
      <w:r>
        <w:rPr>
          <w:lang w:val="ro-RO"/>
        </w:rPr>
        <w:t xml:space="preserve"> </w:t>
      </w:r>
      <w:r w:rsidRPr="00054DEE">
        <w:rPr>
          <w:lang w:val="ro-RO"/>
        </w:rPr>
        <w:t>41).</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44</w:t>
      </w:r>
      <w:r w:rsidRPr="00054DEE">
        <w:rPr>
          <w:lang w:val="ro-RO"/>
        </w:rPr>
        <w:fldChar w:fldCharType="end"/>
      </w:r>
      <w:r w:rsidRPr="00054DEE">
        <w:rPr>
          <w:lang w:val="ro-RO"/>
        </w:rPr>
        <w:t>.</w:t>
      </w:r>
      <w:r>
        <w:rPr>
          <w:lang w:val="ro-RO"/>
        </w:rPr>
        <w:t xml:space="preserve"> Curtea concluzionează că consultarea extraselor conturilor bancare ale reclamantei a constituit o imixtiune în dreptul său la respectarea secretului profesional, care se încadrează în viaţa privată </w:t>
      </w:r>
      <w:r w:rsidRPr="00054DEE">
        <w:rPr>
          <w:lang w:val="ro-RO"/>
        </w:rPr>
        <w:t>(</w:t>
      </w:r>
      <w:r w:rsidRPr="00054DEE">
        <w:rPr>
          <w:i/>
          <w:lang w:val="ro-RO"/>
        </w:rPr>
        <w:t>M.N.</w:t>
      </w:r>
      <w:r>
        <w:rPr>
          <w:i/>
          <w:lang w:val="ro-RO"/>
        </w:rPr>
        <w:t xml:space="preserve"> şi alţii </w:t>
      </w:r>
      <w:r w:rsidRPr="00054DEE">
        <w:rPr>
          <w:i/>
          <w:lang w:val="ro-RO"/>
        </w:rPr>
        <w:t>c.</w:t>
      </w:r>
      <w:r>
        <w:rPr>
          <w:i/>
          <w:lang w:val="ro-RO"/>
        </w:rPr>
        <w:t xml:space="preserve"> </w:t>
      </w:r>
      <w:r w:rsidRPr="00054DEE">
        <w:rPr>
          <w:i/>
          <w:lang w:val="ro-RO"/>
        </w:rPr>
        <w:t>Saint-Marin</w:t>
      </w:r>
      <w:r w:rsidRPr="00054DEE">
        <w:rPr>
          <w:lang w:val="ro-RO"/>
        </w:rPr>
        <w:t>,</w:t>
      </w:r>
      <w:r>
        <w:rPr>
          <w:lang w:val="ro-RO"/>
        </w:rPr>
        <w:t xml:space="preserve"> nr. </w:t>
      </w:r>
      <w:r w:rsidRPr="00054DEE">
        <w:rPr>
          <w:lang w:val="ro-RO"/>
        </w:rPr>
        <w:t>28005/12</w:t>
      </w:r>
      <w:r w:rsidRPr="00054DEE">
        <w:rPr>
          <w:snapToGrid w:val="0"/>
          <w:lang w:val="ro-RO"/>
        </w:rPr>
        <w:t>,</w:t>
      </w:r>
      <w:r>
        <w:rPr>
          <w:snapToGrid w:val="0"/>
          <w:lang w:val="ro-RO"/>
        </w:rPr>
        <w:t xml:space="preserve"> </w:t>
      </w:r>
      <w:r w:rsidRPr="00054DEE">
        <w:rPr>
          <w:snapToGrid w:val="0"/>
          <w:lang w:val="ro-RO"/>
        </w:rPr>
        <w:t>§</w:t>
      </w:r>
      <w:r>
        <w:rPr>
          <w:snapToGrid w:val="0"/>
          <w:lang w:val="ro-RO"/>
        </w:rPr>
        <w:t xml:space="preserve"> </w:t>
      </w:r>
      <w:r w:rsidRPr="00054DEE">
        <w:rPr>
          <w:snapToGrid w:val="0"/>
          <w:lang w:val="ro-RO"/>
        </w:rPr>
        <w:t>51,</w:t>
      </w:r>
      <w:r>
        <w:rPr>
          <w:snapToGrid w:val="0"/>
          <w:lang w:val="ro-RO"/>
        </w:rPr>
        <w:t xml:space="preserve"> </w:t>
      </w:r>
      <w:r w:rsidRPr="00054DEE">
        <w:rPr>
          <w:snapToGrid w:val="0"/>
          <w:lang w:val="ro-RO"/>
        </w:rPr>
        <w:t>7</w:t>
      </w:r>
      <w:r>
        <w:rPr>
          <w:snapToGrid w:val="0"/>
          <w:lang w:val="ro-RO"/>
        </w:rPr>
        <w:t xml:space="preserve"> </w:t>
      </w:r>
      <w:r>
        <w:rPr>
          <w:lang w:val="ro-RO"/>
        </w:rPr>
        <w:t>iulie</w:t>
      </w:r>
      <w:r>
        <w:rPr>
          <w:snapToGrid w:val="0"/>
          <w:lang w:val="ro-RO"/>
        </w:rPr>
        <w:t xml:space="preserve"> </w:t>
      </w:r>
      <w:r w:rsidRPr="00054DEE">
        <w:rPr>
          <w:snapToGrid w:val="0"/>
          <w:lang w:val="ro-RO"/>
        </w:rPr>
        <w:t>2015)</w:t>
      </w:r>
      <w:r w:rsidRPr="00054DEE">
        <w:rPr>
          <w:lang w:val="ro-RO"/>
        </w:rPr>
        <w:t>.</w:t>
      </w:r>
    </w:p>
    <w:p w:rsidR="00886CFB" w:rsidRPr="00054DEE" w:rsidRDefault="00886CFB" w:rsidP="00906B0E">
      <w:pPr>
        <w:pStyle w:val="ECHRHeading4"/>
        <w:rPr>
          <w:lang w:val="ro-RO"/>
        </w:rPr>
      </w:pPr>
      <w:r w:rsidRPr="00054DEE">
        <w:rPr>
          <w:lang w:val="ro-RO"/>
        </w:rPr>
        <w:t>b)</w:t>
      </w:r>
      <w:r>
        <w:rPr>
          <w:lang w:val="ro-RO"/>
        </w:rPr>
        <w:t xml:space="preserve"> Privind justificarea imixtiunii</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45</w:t>
      </w:r>
      <w:r w:rsidRPr="00054DEE">
        <w:rPr>
          <w:lang w:val="ro-RO"/>
        </w:rPr>
        <w:fldChar w:fldCharType="end"/>
      </w:r>
      <w:r w:rsidRPr="00054DEE">
        <w:rPr>
          <w:lang w:val="ro-RO"/>
        </w:rPr>
        <w:t>.</w:t>
      </w:r>
      <w:r>
        <w:rPr>
          <w:lang w:val="ro-RO"/>
        </w:rPr>
        <w:t xml:space="preserve"> O imixtiune încalcă articolul </w:t>
      </w:r>
      <w:r w:rsidRPr="00054DEE">
        <w:rPr>
          <w:lang w:val="ro-RO"/>
        </w:rPr>
        <w:t>8</w:t>
      </w:r>
      <w:r>
        <w:rPr>
          <w:lang w:val="ro-RO"/>
        </w:rPr>
        <w:t xml:space="preserve"> din Convenţie</w:t>
      </w:r>
      <w:r w:rsidRPr="00054DEE">
        <w:rPr>
          <w:lang w:val="ro-RO"/>
        </w:rPr>
        <w:t>,</w:t>
      </w:r>
      <w:r>
        <w:rPr>
          <w:lang w:val="ro-RO"/>
        </w:rPr>
        <w:t xml:space="preserve"> cu excepţia cazului în care „este prevăzută de lege”</w:t>
      </w:r>
      <w:r w:rsidRPr="00054DEE">
        <w:rPr>
          <w:lang w:val="ro-RO"/>
        </w:rPr>
        <w:t>,</w:t>
      </w:r>
      <w:r>
        <w:rPr>
          <w:lang w:val="ro-RO"/>
        </w:rPr>
        <w:t xml:space="preserve"> îndreptată spre unul sau mai multe scopuri legitime privind paragraful </w:t>
      </w:r>
      <w:r w:rsidRPr="00054DEE">
        <w:rPr>
          <w:lang w:val="ro-RO"/>
        </w:rPr>
        <w:t>2</w:t>
      </w:r>
      <w:r>
        <w:rPr>
          <w:lang w:val="ro-RO"/>
        </w:rPr>
        <w:t xml:space="preserve"> şi „necesară, într-o societate democratică” pentru a-l sau a le atinge</w:t>
      </w:r>
      <w:r w:rsidRPr="00054DEE">
        <w:rPr>
          <w:lang w:val="ro-RO"/>
        </w:rPr>
        <w:t>.</w:t>
      </w:r>
    </w:p>
    <w:p w:rsidR="00886CFB" w:rsidRPr="00D15211" w:rsidRDefault="00886CFB" w:rsidP="00906B0E">
      <w:pPr>
        <w:pStyle w:val="ECHRHeading5"/>
        <w:rPr>
          <w:sz w:val="24"/>
          <w:lang w:val="ro-RO"/>
        </w:rPr>
      </w:pPr>
      <w:r w:rsidRPr="00D15211">
        <w:rPr>
          <w:sz w:val="24"/>
          <w:lang w:val="ro-RO"/>
        </w:rPr>
        <w:t>i. Prevăzută de lege</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46</w:t>
      </w:r>
      <w:r w:rsidRPr="00054DEE">
        <w:rPr>
          <w:lang w:val="ro-RO"/>
        </w:rPr>
        <w:fldChar w:fldCharType="end"/>
      </w:r>
      <w:r w:rsidRPr="00054DEE">
        <w:rPr>
          <w:lang w:val="ro-RO"/>
        </w:rPr>
        <w:t>.</w:t>
      </w:r>
      <w:r>
        <w:rPr>
          <w:lang w:val="ro-RO"/>
        </w:rPr>
        <w:t xml:space="preserve"> Curtea reaminteşte că cuvintele „prevăzută de lege” implică în primul rând faptul că măsura încriminată trebuie să aibă o bază în drept internă, dar că sunt de asemenea legate de calitatea legii în chestiune</w:t>
      </w:r>
      <w:r w:rsidRPr="00054DEE">
        <w:rPr>
          <w:lang w:val="ro-RO"/>
        </w:rPr>
        <w:t>:</w:t>
      </w:r>
      <w:r>
        <w:rPr>
          <w:lang w:val="ro-RO"/>
        </w:rPr>
        <w:t xml:space="preserve"> ele impun de asemenea accesibilitatea acesteia la persoanele vizate şi o formulare destul de precisă pentru a le permite </w:t>
      </w:r>
      <w:r w:rsidRPr="00054DEE">
        <w:rPr>
          <w:lang w:val="ro-RO"/>
        </w:rPr>
        <w:t>–</w:t>
      </w:r>
      <w:r>
        <w:rPr>
          <w:lang w:val="ro-RO"/>
        </w:rPr>
        <w:t xml:space="preserve"> să se înconjoare</w:t>
      </w:r>
      <w:r w:rsidRPr="00054DEE">
        <w:rPr>
          <w:lang w:val="ro-RO"/>
        </w:rPr>
        <w:t>,</w:t>
      </w:r>
      <w:r>
        <w:rPr>
          <w:lang w:val="ro-RO"/>
        </w:rPr>
        <w:t xml:space="preserve"> la nevoie, de sfaturi clare </w:t>
      </w:r>
      <w:r w:rsidRPr="00054DEE">
        <w:rPr>
          <w:lang w:val="ro-RO"/>
        </w:rPr>
        <w:t>–</w:t>
      </w:r>
      <w:r>
        <w:rPr>
          <w:lang w:val="ro-RO"/>
        </w:rPr>
        <w:t xml:space="preserve"> să prevadă, cu un grad rezonabil în împrejurările cauzei, consecinţele care pot rezulta dintr-un act determinat şi să regleze conduita acestora</w:t>
      </w:r>
      <w:r w:rsidRPr="00054DEE">
        <w:rPr>
          <w:lang w:val="ro-RO"/>
        </w:rPr>
        <w:t>.</w:t>
      </w:r>
      <w:r>
        <w:rPr>
          <w:lang w:val="ro-RO"/>
        </w:rPr>
        <w:t xml:space="preserve"> Această expresie implică aşadar faptul că legislaţia internă trebuie să folosească termeni destul de clari pentru a indica tuturor într-o manieră suficientă în ce circumstanţe şi în ce condiţii ea abilitează puterea publică să recurgă la măsuri care afectează drepturile lor protejate de Convenţie </w:t>
      </w:r>
      <w:r w:rsidRPr="00054DEE">
        <w:rPr>
          <w:lang w:val="ro-RO"/>
        </w:rPr>
        <w:t>(</w:t>
      </w:r>
      <w:r>
        <w:rPr>
          <w:lang w:val="ro-RO"/>
        </w:rPr>
        <w:t>a se vedea, de exemplu</w:t>
      </w:r>
      <w:r w:rsidRPr="00054DEE">
        <w:rPr>
          <w:lang w:val="ro-RO"/>
        </w:rPr>
        <w:t>,</w:t>
      </w:r>
      <w:r>
        <w:rPr>
          <w:lang w:val="ro-RO"/>
        </w:rPr>
        <w:t xml:space="preserve"> </w:t>
      </w:r>
      <w:r w:rsidRPr="00054DEE">
        <w:rPr>
          <w:i/>
          <w:lang w:val="ro-RO"/>
        </w:rPr>
        <w:t>Gorzelik</w:t>
      </w:r>
      <w:r>
        <w:rPr>
          <w:i/>
          <w:lang w:val="ro-RO"/>
        </w:rPr>
        <w:t xml:space="preserve"> şi alţii </w:t>
      </w:r>
      <w:r w:rsidRPr="00054DEE">
        <w:rPr>
          <w:i/>
          <w:lang w:val="ro-RO"/>
        </w:rPr>
        <w:t>c.</w:t>
      </w:r>
      <w:r>
        <w:rPr>
          <w:i/>
          <w:lang w:val="ro-RO"/>
        </w:rPr>
        <w:t xml:space="preserve"> </w:t>
      </w:r>
      <w:r w:rsidRPr="00054DEE">
        <w:rPr>
          <w:i/>
          <w:lang w:val="ro-RO"/>
        </w:rPr>
        <w:t>Pologne</w:t>
      </w:r>
      <w:r>
        <w:rPr>
          <w:lang w:val="ro-RO"/>
        </w:rPr>
        <w:t xml:space="preserve"> </w:t>
      </w:r>
      <w:r w:rsidRPr="00054DEE">
        <w:rPr>
          <w:lang w:val="ro-RO"/>
        </w:rPr>
        <w:t>[GC],</w:t>
      </w:r>
      <w:r>
        <w:rPr>
          <w:lang w:val="ro-RO"/>
        </w:rPr>
        <w:t xml:space="preserve"> nr. </w:t>
      </w:r>
      <w:r w:rsidRPr="00054DEE">
        <w:rPr>
          <w:lang w:val="ro-RO"/>
        </w:rPr>
        <w:t>44158/98,</w:t>
      </w:r>
      <w:r>
        <w:rPr>
          <w:lang w:val="ro-RO"/>
        </w:rPr>
        <w:t xml:space="preserve"> </w:t>
      </w:r>
      <w:r w:rsidRPr="00054DEE">
        <w:rPr>
          <w:lang w:val="ro-RO"/>
        </w:rPr>
        <w:t>§</w:t>
      </w:r>
      <w:r>
        <w:rPr>
          <w:lang w:val="ro-RO"/>
        </w:rPr>
        <w:t xml:space="preserve"> </w:t>
      </w:r>
      <w:r w:rsidRPr="00054DEE">
        <w:rPr>
          <w:lang w:val="ro-RO"/>
        </w:rPr>
        <w:t>64,</w:t>
      </w:r>
      <w:r>
        <w:rPr>
          <w:lang w:val="ro-RO"/>
        </w:rPr>
        <w:t xml:space="preserve"> </w:t>
      </w:r>
      <w:r w:rsidRPr="00054DEE">
        <w:rPr>
          <w:lang w:val="ro-RO"/>
        </w:rPr>
        <w:t>CEDH</w:t>
      </w:r>
      <w:r>
        <w:rPr>
          <w:lang w:val="ro-RO"/>
        </w:rPr>
        <w:t xml:space="preserve"> </w:t>
      </w:r>
      <w:r w:rsidRPr="00054DEE">
        <w:rPr>
          <w:lang w:val="ro-RO"/>
        </w:rPr>
        <w:t>2004</w:t>
      </w:r>
      <w:r w:rsidRPr="00054DEE">
        <w:rPr>
          <w:lang w:val="ro-RO"/>
        </w:rPr>
        <w:noBreakHyphen/>
        <w:t>I,</w:t>
      </w:r>
      <w:r>
        <w:rPr>
          <w:lang w:val="ro-RO"/>
        </w:rPr>
        <w:t xml:space="preserve"> </w:t>
      </w:r>
      <w:r w:rsidRPr="00054DEE">
        <w:rPr>
          <w:i/>
          <w:lang w:val="ro-RO"/>
        </w:rPr>
        <w:t>Maestri</w:t>
      </w:r>
      <w:r>
        <w:rPr>
          <w:i/>
          <w:lang w:val="ro-RO"/>
        </w:rPr>
        <w:t xml:space="preserve"> </w:t>
      </w:r>
      <w:r w:rsidRPr="00054DEE">
        <w:rPr>
          <w:i/>
          <w:lang w:val="ro-RO"/>
        </w:rPr>
        <w:t>c.</w:t>
      </w:r>
      <w:r>
        <w:rPr>
          <w:i/>
          <w:lang w:val="ro-RO"/>
        </w:rPr>
        <w:t xml:space="preserve"> </w:t>
      </w:r>
      <w:r w:rsidRPr="00054DEE">
        <w:rPr>
          <w:i/>
          <w:lang w:val="ro-RO"/>
        </w:rPr>
        <w:t>Italie</w:t>
      </w:r>
      <w:r>
        <w:rPr>
          <w:lang w:val="ro-RO"/>
        </w:rPr>
        <w:t xml:space="preserve"> </w:t>
      </w:r>
      <w:r w:rsidRPr="00054DEE">
        <w:rPr>
          <w:lang w:val="ro-RO"/>
        </w:rPr>
        <w:t>[GC],</w:t>
      </w:r>
      <w:r>
        <w:rPr>
          <w:lang w:val="ro-RO"/>
        </w:rPr>
        <w:t xml:space="preserve"> nr. </w:t>
      </w:r>
      <w:r w:rsidRPr="00054DEE">
        <w:rPr>
          <w:lang w:val="ro-RO"/>
        </w:rPr>
        <w:t>39748/98,</w:t>
      </w:r>
      <w:r>
        <w:rPr>
          <w:lang w:val="ro-RO"/>
        </w:rPr>
        <w:t xml:space="preserve"> </w:t>
      </w:r>
      <w:r w:rsidRPr="00054DEE">
        <w:rPr>
          <w:lang w:val="ro-RO"/>
        </w:rPr>
        <w:t>§</w:t>
      </w:r>
      <w:r>
        <w:rPr>
          <w:lang w:val="ro-RO"/>
        </w:rPr>
        <w:t xml:space="preserve"> </w:t>
      </w:r>
      <w:r w:rsidRPr="00054DEE">
        <w:rPr>
          <w:lang w:val="ro-RO"/>
        </w:rPr>
        <w:t>30,</w:t>
      </w:r>
      <w:r>
        <w:rPr>
          <w:lang w:val="ro-RO"/>
        </w:rPr>
        <w:t xml:space="preserve"> </w:t>
      </w:r>
      <w:r w:rsidRPr="00054DEE">
        <w:rPr>
          <w:lang w:val="ro-RO"/>
        </w:rPr>
        <w:t>CEDH</w:t>
      </w:r>
      <w:r>
        <w:rPr>
          <w:lang w:val="ro-RO"/>
        </w:rPr>
        <w:t xml:space="preserve"> </w:t>
      </w:r>
      <w:r w:rsidRPr="00054DEE">
        <w:rPr>
          <w:lang w:val="ro-RO"/>
        </w:rPr>
        <w:t>2004</w:t>
      </w:r>
      <w:r w:rsidRPr="00054DEE">
        <w:rPr>
          <w:lang w:val="ro-RO"/>
        </w:rPr>
        <w:noBreakHyphen/>
        <w:t>I,</w:t>
      </w:r>
      <w:r>
        <w:rPr>
          <w:lang w:val="ro-RO"/>
        </w:rPr>
        <w:t xml:space="preserve"> </w:t>
      </w:r>
      <w:r w:rsidRPr="00054DEE">
        <w:rPr>
          <w:i/>
          <w:lang w:val="ro-RO"/>
        </w:rPr>
        <w:t>Sanoma</w:t>
      </w:r>
      <w:r>
        <w:rPr>
          <w:i/>
          <w:lang w:val="ro-RO"/>
        </w:rPr>
        <w:t xml:space="preserve"> </w:t>
      </w:r>
      <w:r w:rsidRPr="00054DEE">
        <w:rPr>
          <w:i/>
          <w:lang w:val="ro-RO"/>
        </w:rPr>
        <w:t>Uitgevers</w:t>
      </w:r>
      <w:r>
        <w:rPr>
          <w:i/>
          <w:lang w:val="ro-RO"/>
        </w:rPr>
        <w:t xml:space="preserve"> </w:t>
      </w:r>
      <w:r w:rsidRPr="00054DEE">
        <w:rPr>
          <w:i/>
          <w:lang w:val="ro-RO"/>
        </w:rPr>
        <w:t>B.V.</w:t>
      </w:r>
      <w:r>
        <w:rPr>
          <w:i/>
          <w:lang w:val="ro-RO"/>
        </w:rPr>
        <w:t xml:space="preserve"> </w:t>
      </w:r>
      <w:r w:rsidRPr="00054DEE">
        <w:rPr>
          <w:i/>
          <w:lang w:val="ro-RO"/>
        </w:rPr>
        <w:t>c.</w:t>
      </w:r>
      <w:r>
        <w:rPr>
          <w:i/>
          <w:lang w:val="ro-RO"/>
        </w:rPr>
        <w:t xml:space="preserve"> </w:t>
      </w:r>
      <w:r w:rsidRPr="00054DEE">
        <w:rPr>
          <w:i/>
          <w:lang w:val="ro-RO"/>
        </w:rPr>
        <w:t>Pays-Bas</w:t>
      </w:r>
      <w:r>
        <w:rPr>
          <w:lang w:val="ro-RO"/>
        </w:rPr>
        <w:t xml:space="preserve"> </w:t>
      </w:r>
      <w:r w:rsidRPr="00054DEE">
        <w:rPr>
          <w:lang w:val="ro-RO"/>
        </w:rPr>
        <w:t>[GC],</w:t>
      </w:r>
      <w:r>
        <w:rPr>
          <w:lang w:val="ro-RO"/>
        </w:rPr>
        <w:t xml:space="preserve"> nr. </w:t>
      </w:r>
      <w:r w:rsidRPr="00054DEE">
        <w:rPr>
          <w:lang w:val="ro-RO"/>
        </w:rPr>
        <w:t>38224/03,</w:t>
      </w:r>
      <w:r>
        <w:rPr>
          <w:lang w:val="ro-RO"/>
        </w:rPr>
        <w:t xml:space="preserve"> </w:t>
      </w:r>
      <w:r w:rsidRPr="00054DEE">
        <w:rPr>
          <w:lang w:val="ro-RO"/>
        </w:rPr>
        <w:t>§</w:t>
      </w:r>
      <w:r>
        <w:rPr>
          <w:lang w:val="ro-RO"/>
        </w:rPr>
        <w:t xml:space="preserve"> </w:t>
      </w:r>
      <w:r w:rsidRPr="00054DEE">
        <w:rPr>
          <w:lang w:val="ro-RO"/>
        </w:rPr>
        <w:t>81,</w:t>
      </w:r>
      <w:r>
        <w:rPr>
          <w:lang w:val="ro-RO"/>
        </w:rPr>
        <w:t xml:space="preserve"> </w:t>
      </w:r>
      <w:r w:rsidRPr="00054DEE">
        <w:rPr>
          <w:lang w:val="ro-RO"/>
        </w:rPr>
        <w:t>14</w:t>
      </w:r>
      <w:r>
        <w:rPr>
          <w:lang w:val="ro-RO"/>
        </w:rPr>
        <w:t xml:space="preserve"> septembrie </w:t>
      </w:r>
      <w:r w:rsidRPr="00054DEE">
        <w:rPr>
          <w:lang w:val="ro-RO"/>
        </w:rPr>
        <w:t>2010,</w:t>
      </w:r>
      <w:r>
        <w:rPr>
          <w:lang w:val="ro-RO"/>
        </w:rPr>
        <w:t xml:space="preserve"> </w:t>
      </w:r>
      <w:r w:rsidRPr="00054DEE">
        <w:rPr>
          <w:i/>
          <w:lang w:val="ro-RO"/>
        </w:rPr>
        <w:t>Bayatyan</w:t>
      </w:r>
      <w:r>
        <w:rPr>
          <w:i/>
          <w:lang w:val="ro-RO"/>
        </w:rPr>
        <w:t xml:space="preserve"> </w:t>
      </w:r>
      <w:r w:rsidRPr="00054DEE">
        <w:rPr>
          <w:i/>
          <w:lang w:val="ro-RO"/>
        </w:rPr>
        <w:t>c.</w:t>
      </w:r>
      <w:r>
        <w:rPr>
          <w:i/>
          <w:lang w:val="ro-RO"/>
        </w:rPr>
        <w:t xml:space="preserve"> </w:t>
      </w:r>
      <w:r w:rsidRPr="00054DEE">
        <w:rPr>
          <w:i/>
          <w:lang w:val="ro-RO"/>
        </w:rPr>
        <w:t>Arménie</w:t>
      </w:r>
      <w:r>
        <w:rPr>
          <w:lang w:val="ro-RO"/>
        </w:rPr>
        <w:t xml:space="preserve"> </w:t>
      </w:r>
      <w:r w:rsidRPr="00054DEE">
        <w:rPr>
          <w:lang w:val="ro-RO"/>
        </w:rPr>
        <w:t>[GC],</w:t>
      </w:r>
      <w:r>
        <w:rPr>
          <w:lang w:val="ro-RO"/>
        </w:rPr>
        <w:t xml:space="preserve"> nr. </w:t>
      </w:r>
      <w:r w:rsidRPr="00054DEE">
        <w:rPr>
          <w:lang w:val="ro-RO"/>
        </w:rPr>
        <w:t>23459/03,</w:t>
      </w:r>
      <w:r>
        <w:rPr>
          <w:lang w:val="ro-RO"/>
        </w:rPr>
        <w:t xml:space="preserve"> </w:t>
      </w:r>
      <w:r w:rsidRPr="00054DEE">
        <w:rPr>
          <w:lang w:val="ro-RO"/>
        </w:rPr>
        <w:t>§</w:t>
      </w:r>
      <w:r>
        <w:rPr>
          <w:lang w:val="ro-RO"/>
        </w:rPr>
        <w:t xml:space="preserve"> </w:t>
      </w:r>
      <w:r w:rsidRPr="00054DEE">
        <w:rPr>
          <w:lang w:val="ro-RO"/>
        </w:rPr>
        <w:t>113,</w:t>
      </w:r>
      <w:r>
        <w:rPr>
          <w:lang w:val="ro-RO"/>
        </w:rPr>
        <w:t xml:space="preserve"> </w:t>
      </w:r>
      <w:r w:rsidRPr="00054DEE">
        <w:rPr>
          <w:lang w:val="ro-RO"/>
        </w:rPr>
        <w:t>CEDH</w:t>
      </w:r>
      <w:r>
        <w:rPr>
          <w:lang w:val="ro-RO"/>
        </w:rPr>
        <w:t xml:space="preserve"> </w:t>
      </w:r>
      <w:r w:rsidRPr="00054DEE">
        <w:rPr>
          <w:lang w:val="ro-RO"/>
        </w:rPr>
        <w:t>2011,</w:t>
      </w:r>
      <w:r>
        <w:rPr>
          <w:lang w:val="ro-RO"/>
        </w:rPr>
        <w:t xml:space="preserve"> şi </w:t>
      </w:r>
      <w:r w:rsidRPr="00054DEE">
        <w:rPr>
          <w:i/>
          <w:lang w:val="ro-RO"/>
        </w:rPr>
        <w:t>Fernández</w:t>
      </w:r>
      <w:r>
        <w:rPr>
          <w:i/>
          <w:lang w:val="ro-RO"/>
        </w:rPr>
        <w:t xml:space="preserve"> </w:t>
      </w:r>
      <w:r w:rsidRPr="00054DEE">
        <w:rPr>
          <w:i/>
          <w:lang w:val="ro-RO"/>
        </w:rPr>
        <w:t>Martínez</w:t>
      </w:r>
      <w:r>
        <w:rPr>
          <w:i/>
          <w:lang w:val="ro-RO"/>
        </w:rPr>
        <w:t xml:space="preserve"> </w:t>
      </w:r>
      <w:r w:rsidRPr="00054DEE">
        <w:rPr>
          <w:i/>
          <w:lang w:val="ro-RO"/>
        </w:rPr>
        <w:t>c.</w:t>
      </w:r>
      <w:r>
        <w:rPr>
          <w:i/>
          <w:lang w:val="ro-RO"/>
        </w:rPr>
        <w:t xml:space="preserve"> </w:t>
      </w:r>
      <w:r w:rsidRPr="00054DEE">
        <w:rPr>
          <w:i/>
          <w:lang w:val="ro-RO"/>
        </w:rPr>
        <w:t>Espagne</w:t>
      </w:r>
      <w:r>
        <w:rPr>
          <w:lang w:val="ro-RO"/>
        </w:rPr>
        <w:t xml:space="preserve"> </w:t>
      </w:r>
      <w:r w:rsidRPr="00054DEE">
        <w:rPr>
          <w:lang w:val="ro-RO"/>
        </w:rPr>
        <w:t>[GC],</w:t>
      </w:r>
      <w:r>
        <w:rPr>
          <w:lang w:val="ro-RO"/>
        </w:rPr>
        <w:t xml:space="preserve"> nr. </w:t>
      </w:r>
      <w:r w:rsidRPr="00054DEE">
        <w:rPr>
          <w:lang w:val="ro-RO"/>
        </w:rPr>
        <w:t>56030/07,</w:t>
      </w:r>
      <w:r>
        <w:rPr>
          <w:lang w:val="ro-RO"/>
        </w:rPr>
        <w:t xml:space="preserve"> </w:t>
      </w:r>
      <w:r w:rsidRPr="00054DEE">
        <w:rPr>
          <w:lang w:val="ro-RO"/>
        </w:rPr>
        <w:t>§</w:t>
      </w:r>
      <w:r>
        <w:rPr>
          <w:lang w:val="ro-RO"/>
        </w:rPr>
        <w:t xml:space="preserve"> </w:t>
      </w:r>
      <w:r w:rsidRPr="00054DEE">
        <w:rPr>
          <w:lang w:val="ro-RO"/>
        </w:rPr>
        <w:t>117,</w:t>
      </w:r>
      <w:r>
        <w:rPr>
          <w:lang w:val="ro-RO"/>
        </w:rPr>
        <w:t xml:space="preserve"> </w:t>
      </w:r>
      <w:r w:rsidRPr="00054DEE">
        <w:rPr>
          <w:lang w:val="ro-RO"/>
        </w:rPr>
        <w:t>CEDH</w:t>
      </w:r>
      <w:r>
        <w:rPr>
          <w:lang w:val="ro-RO"/>
        </w:rPr>
        <w:t xml:space="preserve"> </w:t>
      </w:r>
      <w:r w:rsidRPr="00054DEE">
        <w:rPr>
          <w:lang w:val="ro-RO"/>
        </w:rPr>
        <w:t>2014</w:t>
      </w:r>
      <w:r>
        <w:rPr>
          <w:lang w:val="ro-RO"/>
        </w:rPr>
        <w:t xml:space="preserve"> </w:t>
      </w:r>
      <w:r w:rsidRPr="00054DEE">
        <w:rPr>
          <w:lang w:val="ro-RO"/>
        </w:rPr>
        <w:t>(extra</w:t>
      </w:r>
      <w:r>
        <w:rPr>
          <w:lang w:val="ro-RO"/>
        </w:rPr>
        <w:t>se</w:t>
      </w:r>
      <w:r w:rsidRPr="00054DEE">
        <w:rPr>
          <w:lang w:val="ro-RO"/>
        </w:rPr>
        <w:t>)).</w:t>
      </w:r>
    </w:p>
    <w:p w:rsidR="00886CFB" w:rsidRPr="00054DEE" w:rsidRDefault="00886CFB" w:rsidP="00906B0E">
      <w:pPr>
        <w:pStyle w:val="ECHRPara"/>
        <w:rPr>
          <w:lang w:val="ro-RO"/>
        </w:rPr>
      </w:pPr>
      <w:r w:rsidRPr="00054DEE">
        <w:rPr>
          <w:lang w:val="ro-RO"/>
        </w:rPr>
        <w:lastRenderedPageBreak/>
        <w:fldChar w:fldCharType="begin"/>
      </w:r>
      <w:r w:rsidRPr="00054DEE">
        <w:rPr>
          <w:lang w:val="ro-RO"/>
        </w:rPr>
        <w:instrText xml:space="preserve"> SEQ level0 \*arabic </w:instrText>
      </w:r>
      <w:r w:rsidRPr="00054DEE">
        <w:rPr>
          <w:lang w:val="ro-RO"/>
        </w:rPr>
        <w:fldChar w:fldCharType="separate"/>
      </w:r>
      <w:r w:rsidR="004C1F7F">
        <w:rPr>
          <w:noProof/>
          <w:lang w:val="ro-RO"/>
        </w:rPr>
        <w:t>47</w:t>
      </w:r>
      <w:r w:rsidRPr="00054DEE">
        <w:rPr>
          <w:lang w:val="ro-RO"/>
        </w:rPr>
        <w:fldChar w:fldCharType="end"/>
      </w:r>
      <w:r w:rsidRPr="00054DEE">
        <w:rPr>
          <w:lang w:val="ro-RO"/>
        </w:rPr>
        <w:t>.</w:t>
      </w:r>
      <w:r>
        <w:rPr>
          <w:lang w:val="ro-RO"/>
        </w:rPr>
        <w:t xml:space="preserve"> În cadrul articolului </w:t>
      </w:r>
      <w:r w:rsidRPr="00054DEE">
        <w:rPr>
          <w:lang w:val="ro-RO"/>
        </w:rPr>
        <w:t>8</w:t>
      </w:r>
      <w:r>
        <w:rPr>
          <w:lang w:val="ro-RO"/>
        </w:rPr>
        <w:t xml:space="preserve"> </w:t>
      </w:r>
      <w:r w:rsidRPr="00054DEE">
        <w:rPr>
          <w:lang w:val="ro-RO"/>
        </w:rPr>
        <w:t>§</w:t>
      </w:r>
      <w:r>
        <w:rPr>
          <w:lang w:val="ro-RO"/>
        </w:rPr>
        <w:t xml:space="preserve"> </w:t>
      </w:r>
      <w:r w:rsidRPr="00054DEE">
        <w:rPr>
          <w:lang w:val="ro-RO"/>
        </w:rPr>
        <w:t>2</w:t>
      </w:r>
      <w:r>
        <w:rPr>
          <w:lang w:val="ro-RO"/>
        </w:rPr>
        <w:t xml:space="preserve"> din Convenţie</w:t>
      </w:r>
      <w:r w:rsidRPr="00054DEE">
        <w:rPr>
          <w:lang w:val="ro-RO"/>
        </w:rPr>
        <w:t>,</w:t>
      </w:r>
      <w:r>
        <w:rPr>
          <w:lang w:val="ro-RO"/>
        </w:rPr>
        <w:t xml:space="preserve"> termenul „lege” trebuie să fie înţeles în accepţiunea sa „materială” şi nu „formală”. De altfel, în domeniul acoperit de dreptul scris „legea” este textul în vigoare aşa cum este interpretat de jurisdicţiile competente </w:t>
      </w:r>
      <w:r w:rsidRPr="00054DEE">
        <w:rPr>
          <w:lang w:val="ro-RO"/>
        </w:rPr>
        <w:t>(</w:t>
      </w:r>
      <w:r w:rsidRPr="00054DEE">
        <w:rPr>
          <w:i/>
          <w:lang w:val="ro-RO"/>
        </w:rPr>
        <w:t>Société</w:t>
      </w:r>
      <w:r>
        <w:rPr>
          <w:i/>
          <w:lang w:val="ro-RO"/>
        </w:rPr>
        <w:t xml:space="preserve"> </w:t>
      </w:r>
      <w:r w:rsidRPr="00054DEE">
        <w:rPr>
          <w:i/>
          <w:lang w:val="ro-RO"/>
        </w:rPr>
        <w:t>Colas</w:t>
      </w:r>
      <w:r>
        <w:rPr>
          <w:i/>
          <w:lang w:val="ro-RO"/>
        </w:rPr>
        <w:t xml:space="preserve"> </w:t>
      </w:r>
      <w:r w:rsidRPr="00054DEE">
        <w:rPr>
          <w:i/>
          <w:lang w:val="ro-RO"/>
        </w:rPr>
        <w:t>Est</w:t>
      </w:r>
      <w:r>
        <w:rPr>
          <w:i/>
          <w:lang w:val="ro-RO"/>
        </w:rPr>
        <w:t xml:space="preserve"> şi alţii </w:t>
      </w:r>
      <w:r w:rsidRPr="00054DEE">
        <w:rPr>
          <w:i/>
          <w:lang w:val="ro-RO"/>
        </w:rPr>
        <w:t>c.</w:t>
      </w:r>
      <w:r>
        <w:rPr>
          <w:i/>
          <w:lang w:val="ro-RO"/>
        </w:rPr>
        <w:t xml:space="preserve"> </w:t>
      </w:r>
      <w:r w:rsidRPr="00054DEE">
        <w:rPr>
          <w:i/>
          <w:lang w:val="ro-RO"/>
        </w:rPr>
        <w:t>France</w:t>
      </w:r>
      <w:r w:rsidRPr="00054DEE">
        <w:rPr>
          <w:lang w:val="ro-RO"/>
        </w:rPr>
        <w:t>,</w:t>
      </w:r>
      <w:r>
        <w:rPr>
          <w:lang w:val="ro-RO"/>
        </w:rPr>
        <w:t xml:space="preserve"> nr. </w:t>
      </w:r>
      <w:r w:rsidRPr="00054DEE">
        <w:rPr>
          <w:lang w:val="ro-RO"/>
        </w:rPr>
        <w:t>37971/97,</w:t>
      </w:r>
      <w:r>
        <w:rPr>
          <w:lang w:val="ro-RO"/>
        </w:rPr>
        <w:t xml:space="preserve"> </w:t>
      </w:r>
      <w:r w:rsidRPr="00054DEE">
        <w:rPr>
          <w:lang w:val="ro-RO"/>
        </w:rPr>
        <w:t>§</w:t>
      </w:r>
      <w:r>
        <w:rPr>
          <w:lang w:val="ro-RO"/>
        </w:rPr>
        <w:t xml:space="preserve"> </w:t>
      </w:r>
      <w:r w:rsidRPr="00054DEE">
        <w:rPr>
          <w:lang w:val="ro-RO"/>
        </w:rPr>
        <w:t>43,</w:t>
      </w:r>
      <w:r>
        <w:rPr>
          <w:lang w:val="ro-RO"/>
        </w:rPr>
        <w:t xml:space="preserve"> </w:t>
      </w:r>
      <w:r w:rsidRPr="00054DEE">
        <w:rPr>
          <w:lang w:val="ro-RO"/>
        </w:rPr>
        <w:t>CEDH</w:t>
      </w:r>
      <w:r>
        <w:rPr>
          <w:lang w:val="ro-RO"/>
        </w:rPr>
        <w:t xml:space="preserve"> </w:t>
      </w:r>
      <w:r w:rsidRPr="00054DEE">
        <w:rPr>
          <w:lang w:val="ro-RO"/>
        </w:rPr>
        <w:t>2002-III</w:t>
      </w:r>
      <w:r>
        <w:rPr>
          <w:lang w:val="ro-RO"/>
        </w:rPr>
        <w:t xml:space="preserve"> şi </w:t>
      </w:r>
      <w:r w:rsidRPr="00054DEE">
        <w:rPr>
          <w:i/>
          <w:lang w:val="ro-RO"/>
        </w:rPr>
        <w:t>Sallinen</w:t>
      </w:r>
      <w:r>
        <w:rPr>
          <w:i/>
          <w:lang w:val="ro-RO"/>
        </w:rPr>
        <w:t xml:space="preserve"> şi alţii </w:t>
      </w:r>
      <w:r w:rsidRPr="00054DEE">
        <w:rPr>
          <w:i/>
          <w:lang w:val="ro-RO"/>
        </w:rPr>
        <w:t>c.</w:t>
      </w:r>
      <w:r>
        <w:rPr>
          <w:i/>
          <w:lang w:val="ro-RO"/>
        </w:rPr>
        <w:t xml:space="preserve"> </w:t>
      </w:r>
      <w:r w:rsidRPr="00054DEE">
        <w:rPr>
          <w:i/>
          <w:lang w:val="ro-RO"/>
        </w:rPr>
        <w:t>Finlande,</w:t>
      </w:r>
      <w:r>
        <w:rPr>
          <w:i/>
          <w:lang w:val="ro-RO"/>
        </w:rPr>
        <w:t xml:space="preserve"> </w:t>
      </w:r>
      <w:r>
        <w:rPr>
          <w:lang w:val="ro-RO"/>
        </w:rPr>
        <w:t>nr.</w:t>
      </w:r>
      <w:r>
        <w:rPr>
          <w:vertAlign w:val="superscript"/>
          <w:lang w:val="ro-RO"/>
        </w:rPr>
        <w:t xml:space="preserve"> </w:t>
      </w:r>
      <w:r w:rsidRPr="00054DEE">
        <w:rPr>
          <w:lang w:val="ro-RO"/>
        </w:rPr>
        <w:t>50882/99,</w:t>
      </w:r>
      <w:r>
        <w:rPr>
          <w:lang w:val="ro-RO"/>
        </w:rPr>
        <w:t xml:space="preserve"> </w:t>
      </w:r>
      <w:r w:rsidRPr="00054DEE">
        <w:rPr>
          <w:lang w:val="ro-RO"/>
        </w:rPr>
        <w:t>§</w:t>
      </w:r>
      <w:r>
        <w:rPr>
          <w:lang w:val="ro-RO"/>
        </w:rPr>
        <w:t xml:space="preserve"> </w:t>
      </w:r>
      <w:r w:rsidRPr="00054DEE">
        <w:rPr>
          <w:lang w:val="ro-RO"/>
        </w:rPr>
        <w:t>77,</w:t>
      </w:r>
      <w:r>
        <w:rPr>
          <w:lang w:val="ro-RO"/>
        </w:rPr>
        <w:t xml:space="preserve"> </w:t>
      </w:r>
      <w:r w:rsidRPr="00054DEE">
        <w:rPr>
          <w:lang w:val="ro-RO"/>
        </w:rPr>
        <w:t>27</w:t>
      </w:r>
      <w:r>
        <w:rPr>
          <w:lang w:val="ro-RO"/>
        </w:rPr>
        <w:t xml:space="preserve"> septembrie </w:t>
      </w:r>
      <w:r w:rsidRPr="00054DEE">
        <w:rPr>
          <w:lang w:val="ro-RO"/>
        </w:rPr>
        <w:t>2005).</w:t>
      </w:r>
    </w:p>
    <w:p w:rsidR="00886CFB" w:rsidRPr="006241C0" w:rsidRDefault="00886CFB" w:rsidP="00906B0E">
      <w:pPr>
        <w:pStyle w:val="ECHRPara"/>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48</w:t>
      </w:r>
      <w:r w:rsidRPr="00054DEE">
        <w:rPr>
          <w:lang w:val="ro-RO"/>
        </w:rPr>
        <w:fldChar w:fldCharType="end"/>
      </w:r>
      <w:r w:rsidRPr="00054DEE">
        <w:rPr>
          <w:lang w:val="ro-RO"/>
        </w:rPr>
        <w:t>.</w:t>
      </w:r>
      <w:r>
        <w:rPr>
          <w:lang w:val="ro-RO"/>
        </w:rPr>
        <w:t xml:space="preserve"> În acest caz</w:t>
      </w:r>
      <w:r w:rsidRPr="00054DEE">
        <w:rPr>
          <w:lang w:val="ro-RO"/>
        </w:rPr>
        <w:t>,</w:t>
      </w:r>
      <w:r>
        <w:rPr>
          <w:lang w:val="ro-RO"/>
        </w:rPr>
        <w:t xml:space="preserve"> reclamanta nu contestă faptul că o imixtiune are o bază legală, mai precis articolul </w:t>
      </w:r>
      <w:r w:rsidRPr="00054DEE">
        <w:rPr>
          <w:lang w:val="ro-RO"/>
        </w:rPr>
        <w:t>135</w:t>
      </w:r>
      <w:r>
        <w:rPr>
          <w:lang w:val="ro-RO"/>
        </w:rPr>
        <w:t xml:space="preserve"> din CPP</w:t>
      </w:r>
      <w:r w:rsidRPr="00054DEE">
        <w:rPr>
          <w:lang w:val="ro-RO"/>
        </w:rPr>
        <w:t>.</w:t>
      </w:r>
      <w:r>
        <w:rPr>
          <w:lang w:val="ro-RO"/>
        </w:rPr>
        <w:t xml:space="preserve"> Guvernul susţine de asemenea acest argument</w:t>
      </w:r>
      <w:r w:rsidRPr="00054DEE">
        <w:rPr>
          <w:lang w:val="ro-RO"/>
        </w:rPr>
        <w:t>.</w:t>
      </w:r>
      <w:r>
        <w:rPr>
          <w:lang w:val="ro-RO"/>
        </w:rPr>
        <w:t xml:space="preserve"> </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49</w:t>
      </w:r>
      <w:r w:rsidRPr="00054DEE">
        <w:rPr>
          <w:lang w:val="ro-RO"/>
        </w:rPr>
        <w:fldChar w:fldCharType="end"/>
      </w:r>
      <w:r w:rsidRPr="00054DEE">
        <w:rPr>
          <w:lang w:val="ro-RO"/>
        </w:rPr>
        <w:t>.</w:t>
      </w:r>
      <w:r>
        <w:rPr>
          <w:lang w:val="ro-RO"/>
        </w:rPr>
        <w:t xml:space="preserve"> Curtea constată, de asemenea, că</w:t>
      </w:r>
      <w:r w:rsidRPr="00054DEE">
        <w:rPr>
          <w:lang w:val="ro-RO"/>
        </w:rPr>
        <w:t>,</w:t>
      </w:r>
      <w:r>
        <w:rPr>
          <w:lang w:val="ro-RO"/>
        </w:rPr>
        <w:t xml:space="preserve"> pentru a putea obţine informaţiile căutate în cadrul procedurii penale deschise contra reclamantei</w:t>
      </w:r>
      <w:r w:rsidRPr="00054DEE">
        <w:rPr>
          <w:lang w:val="ro-RO"/>
        </w:rPr>
        <w:t>,</w:t>
      </w:r>
      <w:r>
        <w:rPr>
          <w:lang w:val="ro-RO"/>
        </w:rPr>
        <w:t xml:space="preserve"> curtea de apel din </w:t>
      </w:r>
      <w:r w:rsidRPr="00054DEE">
        <w:rPr>
          <w:lang w:val="ro-RO"/>
        </w:rPr>
        <w:t>Évora</w:t>
      </w:r>
      <w:r>
        <w:rPr>
          <w:lang w:val="ro-RO"/>
        </w:rPr>
        <w:t xml:space="preserve"> a dispus ridicarea secretului profesional bazându-se pe paragraful 3 al articolului </w:t>
      </w:r>
      <w:r w:rsidRPr="00054DEE">
        <w:rPr>
          <w:lang w:val="ro-RO"/>
        </w:rPr>
        <w:t>135</w:t>
      </w:r>
      <w:r>
        <w:rPr>
          <w:lang w:val="ro-RO"/>
        </w:rPr>
        <w:t xml:space="preserve"> din CPP. Totuşi</w:t>
      </w:r>
      <w:r w:rsidRPr="00054DEE">
        <w:rPr>
          <w:lang w:val="ro-RO"/>
        </w:rPr>
        <w:t>,</w:t>
      </w:r>
      <w:r>
        <w:rPr>
          <w:lang w:val="ro-RO"/>
        </w:rPr>
        <w:t xml:space="preserve"> ea relevă că, în două cazuri similare, curtea de apel din </w:t>
      </w:r>
      <w:r w:rsidRPr="00054DEE">
        <w:rPr>
          <w:lang w:val="ro-RO"/>
        </w:rPr>
        <w:t>Porto</w:t>
      </w:r>
      <w:r>
        <w:rPr>
          <w:lang w:val="ro-RO"/>
        </w:rPr>
        <w:t xml:space="preserve"> şi curtea de apel din Lisabona au considerat că articolul </w:t>
      </w:r>
      <w:r w:rsidRPr="00054DEE">
        <w:rPr>
          <w:lang w:val="ro-RO"/>
        </w:rPr>
        <w:t>135</w:t>
      </w:r>
      <w:r>
        <w:rPr>
          <w:lang w:val="ro-RO"/>
        </w:rPr>
        <w:t xml:space="preserve"> nu se putea opune unui avocat care a intervenit ca acuzat în cadrul unei proceduri penale, având în vedere mai ales dreptul de a păstra tăcerea şi mecanismul prevăzut în articolul </w:t>
      </w:r>
      <w:r w:rsidRPr="00054DEE">
        <w:rPr>
          <w:lang w:val="ro-RO"/>
        </w:rPr>
        <w:t>87</w:t>
      </w:r>
      <w:r>
        <w:rPr>
          <w:lang w:val="ro-RO"/>
        </w:rPr>
        <w:t xml:space="preserve"> </w:t>
      </w:r>
      <w:r w:rsidRPr="00054DEE">
        <w:rPr>
          <w:lang w:val="ro-RO"/>
        </w:rPr>
        <w:t>§</w:t>
      </w:r>
      <w:r>
        <w:rPr>
          <w:lang w:val="ro-RO"/>
        </w:rPr>
        <w:t xml:space="preserve"> </w:t>
      </w:r>
      <w:r w:rsidRPr="00054DEE">
        <w:rPr>
          <w:lang w:val="ro-RO"/>
        </w:rPr>
        <w:t>4</w:t>
      </w:r>
      <w:r>
        <w:rPr>
          <w:lang w:val="ro-RO"/>
        </w:rPr>
        <w:t xml:space="preserve"> din statutul Asociaţiei Barourilor </w:t>
      </w:r>
      <w:r w:rsidRPr="00054DEE">
        <w:rPr>
          <w:lang w:val="ro-RO"/>
        </w:rPr>
        <w:t>(</w:t>
      </w:r>
      <w:r>
        <w:rPr>
          <w:lang w:val="ro-RO"/>
        </w:rPr>
        <w:t xml:space="preserve">a se vedea mai sus paragrafele </w:t>
      </w:r>
      <w:r w:rsidRPr="00054DEE">
        <w:rPr>
          <w:lang w:val="ro-RO"/>
        </w:rPr>
        <w:t>29</w:t>
      </w:r>
      <w:r>
        <w:rPr>
          <w:lang w:val="ro-RO"/>
        </w:rPr>
        <w:t xml:space="preserve"> şi </w:t>
      </w:r>
      <w:r w:rsidRPr="00054DEE">
        <w:rPr>
          <w:lang w:val="ro-RO"/>
        </w:rPr>
        <w:t>30).</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50</w:t>
      </w:r>
      <w:r w:rsidRPr="00054DEE">
        <w:rPr>
          <w:lang w:val="ro-RO"/>
        </w:rPr>
        <w:fldChar w:fldCharType="end"/>
      </w:r>
      <w:r w:rsidRPr="00054DEE">
        <w:rPr>
          <w:lang w:val="ro-RO"/>
        </w:rPr>
        <w:t>.</w:t>
      </w:r>
      <w:r>
        <w:rPr>
          <w:lang w:val="ro-RO"/>
        </w:rPr>
        <w:t xml:space="preserve"> De asemenea</w:t>
      </w:r>
      <w:r w:rsidRPr="00054DEE">
        <w:rPr>
          <w:lang w:val="ro-RO"/>
        </w:rPr>
        <w:t>,</w:t>
      </w:r>
      <w:r>
        <w:rPr>
          <w:lang w:val="ro-RO"/>
        </w:rPr>
        <w:t xml:space="preserve"> Curtea notează că jurisdicţiile interne nu sunt unanime în ceea ce priveşte posibilitatea de a face apel la Curtea Supremă împotriva unei decizii a unei curţi de apel prin care se dispune ridicarea secretului profesional</w:t>
      </w:r>
      <w:r w:rsidRPr="00054DEE">
        <w:rPr>
          <w:lang w:val="ro-RO"/>
        </w:rPr>
        <w:t>.</w:t>
      </w:r>
      <w:r>
        <w:rPr>
          <w:lang w:val="ro-RO"/>
        </w:rPr>
        <w:t xml:space="preserve"> În acest caz</w:t>
      </w:r>
      <w:r w:rsidRPr="00054DEE">
        <w:rPr>
          <w:lang w:val="ro-RO"/>
        </w:rPr>
        <w:t>,</w:t>
      </w:r>
      <w:r>
        <w:rPr>
          <w:lang w:val="ro-RO"/>
        </w:rPr>
        <w:t xml:space="preserve"> apelul reclamantei a fost declarat inadmisibil de către Curtea Supremă printr-o decizie din data de </w:t>
      </w:r>
      <w:r w:rsidRPr="00054DEE">
        <w:rPr>
          <w:lang w:val="ro-RO"/>
        </w:rPr>
        <w:t>2</w:t>
      </w:r>
      <w:r>
        <w:rPr>
          <w:lang w:val="ro-RO"/>
        </w:rPr>
        <w:t xml:space="preserve"> iunie </w:t>
      </w:r>
      <w:r w:rsidRPr="00054DEE">
        <w:rPr>
          <w:lang w:val="ro-RO"/>
        </w:rPr>
        <w:t>2010</w:t>
      </w:r>
      <w:r>
        <w:rPr>
          <w:lang w:val="ro-RO"/>
        </w:rPr>
        <w:t>. Totuşi</w:t>
      </w:r>
      <w:r w:rsidRPr="00054DEE">
        <w:rPr>
          <w:lang w:val="ro-RO"/>
        </w:rPr>
        <w:t>,</w:t>
      </w:r>
      <w:r>
        <w:rPr>
          <w:lang w:val="ro-RO"/>
        </w:rPr>
        <w:t xml:space="preserve"> într-un dosar similar</w:t>
      </w:r>
      <w:r w:rsidRPr="00054DEE">
        <w:rPr>
          <w:lang w:val="ro-RO"/>
        </w:rPr>
        <w:t>,</w:t>
      </w:r>
      <w:r>
        <w:rPr>
          <w:lang w:val="ro-RO"/>
        </w:rPr>
        <w:t xml:space="preserve"> </w:t>
      </w:r>
      <w:r w:rsidRPr="00054DEE">
        <w:rPr>
          <w:lang w:val="ro-RO"/>
        </w:rPr>
        <w:t>un</w:t>
      </w:r>
      <w:r>
        <w:rPr>
          <w:lang w:val="ro-RO"/>
        </w:rPr>
        <w:t xml:space="preserve"> astfel de recurs a fost admis, ceea ce face Curtea Supremă să decidă în ceea ce priveşte necesitatea ridicării secretului profesional (a se vedea decizia din data de 21 aprilie 2005 menţionată mai sus în paragraful </w:t>
      </w:r>
      <w:r w:rsidRPr="00054DEE">
        <w:rPr>
          <w:lang w:val="ro-RO"/>
        </w:rPr>
        <w:t>25).</w:t>
      </w:r>
      <w:r>
        <w:rPr>
          <w:lang w:val="ro-RO"/>
        </w:rPr>
        <w:t xml:space="preserve"> Într-o hotărâre din data de </w:t>
      </w:r>
      <w:r w:rsidRPr="00054DEE">
        <w:rPr>
          <w:lang w:val="ro-RO"/>
        </w:rPr>
        <w:t>9</w:t>
      </w:r>
      <w:r>
        <w:rPr>
          <w:lang w:val="ro-RO"/>
        </w:rPr>
        <w:t xml:space="preserve"> februarie </w:t>
      </w:r>
      <w:r w:rsidRPr="00054DEE">
        <w:rPr>
          <w:lang w:val="ro-RO"/>
        </w:rPr>
        <w:t>2011</w:t>
      </w:r>
      <w:r>
        <w:rPr>
          <w:lang w:val="ro-RO"/>
        </w:rPr>
        <w:t xml:space="preserve"> </w:t>
      </w:r>
      <w:r w:rsidRPr="00054DEE">
        <w:rPr>
          <w:lang w:val="ro-RO"/>
        </w:rPr>
        <w:t>(</w:t>
      </w:r>
      <w:r>
        <w:rPr>
          <w:lang w:val="ro-RO"/>
        </w:rPr>
        <w:t xml:space="preserve">a se vedea mai sus paragraful </w:t>
      </w:r>
      <w:r w:rsidRPr="00054DEE">
        <w:rPr>
          <w:lang w:val="ro-RO"/>
        </w:rPr>
        <w:t>28),</w:t>
      </w:r>
      <w:r>
        <w:rPr>
          <w:lang w:val="ro-RO"/>
        </w:rPr>
        <w:t xml:space="preserve"> înalta instanţă a considerat de asemenea că decizia curţii de apel putea face obiectul unui recurs</w:t>
      </w:r>
      <w:r w:rsidRPr="00054DEE">
        <w:rPr>
          <w:lang w:val="ro-RO"/>
        </w:rPr>
        <w:t>.</w:t>
      </w:r>
      <w:r>
        <w:rPr>
          <w:lang w:val="ro-RO"/>
        </w:rPr>
        <w:t xml:space="preserve"> În sfârşit, cu titlu subsidiar, Curtea relevă că</w:t>
      </w:r>
      <w:r w:rsidRPr="00054DEE">
        <w:rPr>
          <w:lang w:val="ro-RO"/>
        </w:rPr>
        <w:t>,</w:t>
      </w:r>
      <w:r>
        <w:rPr>
          <w:lang w:val="ro-RO"/>
        </w:rPr>
        <w:t xml:space="preserve"> într-o hotărâre din data de </w:t>
      </w:r>
      <w:r w:rsidRPr="00054DEE">
        <w:rPr>
          <w:lang w:val="ro-RO"/>
        </w:rPr>
        <w:t>2</w:t>
      </w:r>
      <w:r>
        <w:rPr>
          <w:lang w:val="ro-RO"/>
        </w:rPr>
        <w:t xml:space="preserve"> noiembrie </w:t>
      </w:r>
      <w:r w:rsidRPr="00054DEE">
        <w:rPr>
          <w:lang w:val="ro-RO"/>
        </w:rPr>
        <w:t>2005</w:t>
      </w:r>
      <w:r>
        <w:rPr>
          <w:lang w:val="ro-RO"/>
        </w:rPr>
        <w:t xml:space="preserve"> </w:t>
      </w:r>
      <w:r w:rsidRPr="00054DEE">
        <w:rPr>
          <w:lang w:val="ro-RO"/>
        </w:rPr>
        <w:t>(</w:t>
      </w:r>
      <w:r>
        <w:rPr>
          <w:lang w:val="ro-RO"/>
        </w:rPr>
        <w:t xml:space="preserve">a se vedea mai sus paragraful </w:t>
      </w:r>
      <w:r w:rsidRPr="00054DEE">
        <w:rPr>
          <w:lang w:val="ro-RO"/>
        </w:rPr>
        <w:t>23),</w:t>
      </w:r>
      <w:r>
        <w:rPr>
          <w:lang w:val="ro-RO"/>
        </w:rPr>
        <w:t xml:space="preserve"> Tribunalul Constituţional a considerat că decizia unei curţi de apel privind ridicarea secretului profesional era de competenţa primei instanţe judiciare</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51</w:t>
      </w:r>
      <w:r w:rsidRPr="00054DEE">
        <w:rPr>
          <w:lang w:val="ro-RO"/>
        </w:rPr>
        <w:fldChar w:fldCharType="end"/>
      </w:r>
      <w:r w:rsidRPr="00054DEE">
        <w:rPr>
          <w:lang w:val="ro-RO"/>
        </w:rPr>
        <w:t>.</w:t>
      </w:r>
      <w:r>
        <w:rPr>
          <w:lang w:val="ro-RO"/>
        </w:rPr>
        <w:t xml:space="preserve"> Independent de previzibilitatea imixtiunii litigioase şi a existenţei sau inexistenţe unei divergenţe a jurisprudenţei la nivel intern în ceea ce priveşte posibilitatea de a formula apel contra unei decizii a unei curţi de apel care dispune ridicarea secretului profesional</w:t>
      </w:r>
      <w:r w:rsidRPr="00054DEE">
        <w:rPr>
          <w:lang w:val="ro-RO"/>
        </w:rPr>
        <w:t>,</w:t>
      </w:r>
      <w:r>
        <w:rPr>
          <w:lang w:val="ro-RO"/>
        </w:rPr>
        <w:t xml:space="preserve"> care ar fi putut aduce atingere principiului securităţii juridice</w:t>
      </w:r>
      <w:r w:rsidRPr="00054DEE">
        <w:rPr>
          <w:lang w:val="ro-RO"/>
        </w:rPr>
        <w:t>,</w:t>
      </w:r>
      <w:r>
        <w:rPr>
          <w:lang w:val="ro-RO"/>
        </w:rPr>
        <w:t xml:space="preserve"> Curtea consideră că nu se impune tranşarea acestor două chestiuni ţinând cont de concluzia la care va ajunge aceasta în ceea ce priveşte necesitatea imixtiunii</w:t>
      </w:r>
      <w:r w:rsidRPr="00054DEE">
        <w:rPr>
          <w:lang w:val="ro-RO"/>
        </w:rPr>
        <w:t>.</w:t>
      </w:r>
    </w:p>
    <w:p w:rsidR="00886CFB" w:rsidRPr="006E1BD6" w:rsidRDefault="00886CFB" w:rsidP="00906B0E">
      <w:pPr>
        <w:pStyle w:val="ECHRHeading5"/>
        <w:rPr>
          <w:sz w:val="24"/>
          <w:lang w:val="ro-RO"/>
        </w:rPr>
      </w:pPr>
      <w:r w:rsidRPr="006E1BD6">
        <w:rPr>
          <w:sz w:val="24"/>
          <w:lang w:val="ro-RO"/>
        </w:rPr>
        <w:t>ii. Legitimă</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52</w:t>
      </w:r>
      <w:r w:rsidRPr="00054DEE">
        <w:rPr>
          <w:lang w:val="ro-RO"/>
        </w:rPr>
        <w:fldChar w:fldCharType="end"/>
      </w:r>
      <w:r w:rsidRPr="00054DEE">
        <w:rPr>
          <w:lang w:val="ro-RO"/>
        </w:rPr>
        <w:t>.</w:t>
      </w:r>
      <w:r>
        <w:rPr>
          <w:lang w:val="ro-RO"/>
        </w:rPr>
        <w:t xml:space="preserve"> Curtea notează că imixtiunea în viaţa privată a reclamantei era făcută în scopul căutării unor indici şi ai unor probe în cadrul unei anchete </w:t>
      </w:r>
      <w:r>
        <w:rPr>
          <w:lang w:val="ro-RO"/>
        </w:rPr>
        <w:lastRenderedPageBreak/>
        <w:t>deschise împotriva reclamantei pentru fraudă fiscală</w:t>
      </w:r>
      <w:r w:rsidRPr="00054DEE">
        <w:rPr>
          <w:lang w:val="ro-RO"/>
        </w:rPr>
        <w:t>.</w:t>
      </w:r>
      <w:r>
        <w:rPr>
          <w:lang w:val="ro-RO"/>
        </w:rPr>
        <w:t xml:space="preserve"> Aceasta urmărea aşadar un scop legitim, şi anume „prevenirea infracţiunilor penale” în sensul articolului </w:t>
      </w:r>
      <w:r w:rsidRPr="00054DEE">
        <w:rPr>
          <w:lang w:val="ro-RO"/>
        </w:rPr>
        <w:t>8</w:t>
      </w:r>
      <w:r>
        <w:rPr>
          <w:lang w:val="ro-RO"/>
        </w:rPr>
        <w:t xml:space="preserve"> </w:t>
      </w:r>
      <w:r w:rsidRPr="00054DEE">
        <w:rPr>
          <w:lang w:val="ro-RO"/>
        </w:rPr>
        <w:t>§</w:t>
      </w:r>
      <w:r>
        <w:rPr>
          <w:lang w:val="ro-RO"/>
        </w:rPr>
        <w:t xml:space="preserve"> </w:t>
      </w:r>
      <w:r w:rsidRPr="00054DEE">
        <w:rPr>
          <w:lang w:val="ro-RO"/>
        </w:rPr>
        <w:t>2</w:t>
      </w:r>
      <w:r>
        <w:rPr>
          <w:lang w:val="ro-RO"/>
        </w:rPr>
        <w:t xml:space="preserve"> din Convenţie</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53</w:t>
      </w:r>
      <w:r w:rsidRPr="00054DEE">
        <w:rPr>
          <w:lang w:val="ro-RO"/>
        </w:rPr>
        <w:fldChar w:fldCharType="end"/>
      </w:r>
      <w:r w:rsidRPr="00054DEE">
        <w:rPr>
          <w:lang w:val="ro-RO"/>
        </w:rPr>
        <w:t>.</w:t>
      </w:r>
      <w:r>
        <w:rPr>
          <w:lang w:val="ro-RO"/>
        </w:rPr>
        <w:t xml:space="preserve"> Rămâne să examinăm dacă o imixtiune asemănătoare era „necesară într-o societate democratică” pentru atingerea scopului legitim urmărit în circumstanţele specifice dosarului</w:t>
      </w:r>
      <w:r w:rsidRPr="00054DEE">
        <w:rPr>
          <w:lang w:val="ro-RO"/>
        </w:rPr>
        <w:t>.</w:t>
      </w:r>
    </w:p>
    <w:p w:rsidR="00886CFB" w:rsidRPr="00054DEE" w:rsidRDefault="00886CFB" w:rsidP="00906B0E">
      <w:pPr>
        <w:pStyle w:val="ECHRHeading5"/>
        <w:rPr>
          <w:lang w:val="ro-RO"/>
        </w:rPr>
      </w:pPr>
      <w:r w:rsidRPr="00054DEE">
        <w:rPr>
          <w:lang w:val="ro-RO"/>
        </w:rPr>
        <w:t>iii.</w:t>
      </w:r>
      <w:r>
        <w:rPr>
          <w:lang w:val="ro-RO"/>
        </w:rPr>
        <w:t xml:space="preserve"> Necesară într-o societate democratică</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54</w:t>
      </w:r>
      <w:r w:rsidRPr="00054DEE">
        <w:rPr>
          <w:lang w:val="ro-RO"/>
        </w:rPr>
        <w:fldChar w:fldCharType="end"/>
      </w:r>
      <w:r w:rsidRPr="00054DEE">
        <w:rPr>
          <w:lang w:val="ro-RO"/>
        </w:rPr>
        <w:t>.</w:t>
      </w:r>
      <w:r>
        <w:rPr>
          <w:lang w:val="ro-RO"/>
        </w:rPr>
        <w:t xml:space="preserve"> Conform jurisprudenţei </w:t>
      </w:r>
      <w:r w:rsidRPr="00054DEE">
        <w:rPr>
          <w:lang w:val="ro-RO"/>
        </w:rPr>
        <w:t>constante</w:t>
      </w:r>
      <w:r>
        <w:rPr>
          <w:lang w:val="ro-RO"/>
        </w:rPr>
        <w:t xml:space="preserve"> a Curţii, noţiunea de „necesitate” implică o ingerință bazată pe o nevoie socială imperioasă şi, în special, proporţională cu scopul legitim urmărit</w:t>
      </w:r>
      <w:r w:rsidRPr="00054DEE">
        <w:rPr>
          <w:lang w:val="ro-RO"/>
        </w:rPr>
        <w:t>.</w:t>
      </w:r>
      <w:r>
        <w:rPr>
          <w:lang w:val="ro-RO"/>
        </w:rPr>
        <w:t xml:space="preserve"> Pentru a determina dacă o imixtiune este „necesară într-o societate democratică”</w:t>
      </w:r>
      <w:r w:rsidRPr="00054DEE">
        <w:rPr>
          <w:lang w:val="ro-RO"/>
        </w:rPr>
        <w:t>,</w:t>
      </w:r>
      <w:r>
        <w:rPr>
          <w:lang w:val="ro-RO"/>
        </w:rPr>
        <w:t xml:space="preserve"> Curtea ţine cont de faptul că o anumită marjă de apreciere trebuie lăsată Statelor contractante </w:t>
      </w:r>
      <w:r w:rsidRPr="00054DEE">
        <w:rPr>
          <w:lang w:val="ro-RO"/>
        </w:rPr>
        <w:t>(</w:t>
      </w:r>
      <w:r>
        <w:rPr>
          <w:lang w:val="ro-RO"/>
        </w:rPr>
        <w:t>a se vedea, printre alte decizii</w:t>
      </w:r>
      <w:r w:rsidRPr="00054DEE">
        <w:rPr>
          <w:lang w:val="ro-RO"/>
        </w:rPr>
        <w:t>,</w:t>
      </w:r>
      <w:r>
        <w:rPr>
          <w:lang w:val="ro-RO"/>
        </w:rPr>
        <w:t xml:space="preserve"> </w:t>
      </w:r>
      <w:r w:rsidRPr="00054DEE">
        <w:rPr>
          <w:i/>
          <w:lang w:val="ro-RO"/>
        </w:rPr>
        <w:t>Camenzind</w:t>
      </w:r>
      <w:r>
        <w:rPr>
          <w:i/>
          <w:lang w:val="ro-RO"/>
        </w:rPr>
        <w:t xml:space="preserve"> </w:t>
      </w:r>
      <w:r w:rsidRPr="00054DEE">
        <w:rPr>
          <w:i/>
          <w:lang w:val="ro-RO"/>
        </w:rPr>
        <w:t>c.</w:t>
      </w:r>
      <w:r>
        <w:rPr>
          <w:i/>
          <w:lang w:val="ro-RO"/>
        </w:rPr>
        <w:t xml:space="preserve"> </w:t>
      </w:r>
      <w:r w:rsidRPr="00054DEE">
        <w:rPr>
          <w:i/>
          <w:lang w:val="ro-RO"/>
        </w:rPr>
        <w:t>Suisse</w:t>
      </w:r>
      <w:r w:rsidRPr="00054DEE">
        <w:rPr>
          <w:lang w:val="ro-RO"/>
        </w:rPr>
        <w:t>,</w:t>
      </w:r>
      <w:r>
        <w:rPr>
          <w:lang w:val="ro-RO"/>
        </w:rPr>
        <w:t xml:space="preserve"> </w:t>
      </w:r>
      <w:r w:rsidRPr="00054DEE">
        <w:rPr>
          <w:lang w:val="ro-RO"/>
        </w:rPr>
        <w:t>16</w:t>
      </w:r>
      <w:r>
        <w:rPr>
          <w:lang w:val="ro-RO"/>
        </w:rPr>
        <w:t xml:space="preserve"> decembrie </w:t>
      </w:r>
      <w:r w:rsidRPr="00054DEE">
        <w:rPr>
          <w:lang w:val="ro-RO"/>
        </w:rPr>
        <w:t>1997,</w:t>
      </w:r>
      <w:r>
        <w:rPr>
          <w:lang w:val="ro-RO"/>
        </w:rPr>
        <w:t xml:space="preserve"> </w:t>
      </w:r>
      <w:r w:rsidRPr="00054DEE">
        <w:rPr>
          <w:i/>
          <w:lang w:val="ro-RO"/>
        </w:rPr>
        <w:t>Recueil</w:t>
      </w:r>
      <w:r>
        <w:rPr>
          <w:i/>
          <w:lang w:val="ro-RO"/>
        </w:rPr>
        <w:t xml:space="preserve"> </w:t>
      </w:r>
      <w:r w:rsidRPr="00054DEE">
        <w:rPr>
          <w:i/>
          <w:lang w:val="ro-RO"/>
        </w:rPr>
        <w:t>des</w:t>
      </w:r>
      <w:r>
        <w:rPr>
          <w:i/>
          <w:lang w:val="ro-RO"/>
        </w:rPr>
        <w:t xml:space="preserve"> </w:t>
      </w:r>
      <w:r w:rsidRPr="00054DEE">
        <w:rPr>
          <w:i/>
          <w:lang w:val="ro-RO"/>
        </w:rPr>
        <w:t>arrêts</w:t>
      </w:r>
      <w:r>
        <w:rPr>
          <w:i/>
          <w:lang w:val="ro-RO"/>
        </w:rPr>
        <w:t xml:space="preserve"> et </w:t>
      </w:r>
      <w:r w:rsidRPr="00054DEE">
        <w:rPr>
          <w:i/>
          <w:lang w:val="ro-RO"/>
        </w:rPr>
        <w:t>décisions</w:t>
      </w:r>
      <w:r>
        <w:rPr>
          <w:lang w:val="ro-RO"/>
        </w:rPr>
        <w:t xml:space="preserve"> </w:t>
      </w:r>
      <w:r w:rsidRPr="00054DEE">
        <w:rPr>
          <w:lang w:val="ro-RO"/>
        </w:rPr>
        <w:t>1997</w:t>
      </w:r>
      <w:r w:rsidRPr="00054DEE">
        <w:rPr>
          <w:rFonts w:ascii="MS Mincho" w:hAnsi="MS Mincho" w:cs="MS Mincho" w:hint="eastAsia"/>
          <w:lang w:val="ro-RO"/>
        </w:rPr>
        <w:t>‑</w:t>
      </w:r>
      <w:r w:rsidRPr="00054DEE">
        <w:rPr>
          <w:lang w:val="ro-RO"/>
        </w:rPr>
        <w:t>VIII,</w:t>
      </w:r>
      <w:r>
        <w:rPr>
          <w:lang w:val="ro-RO"/>
        </w:rPr>
        <w:t xml:space="preserve"> </w:t>
      </w:r>
      <w:r w:rsidRPr="00054DEE">
        <w:rPr>
          <w:lang w:val="ro-RO"/>
        </w:rPr>
        <w:t>§</w:t>
      </w:r>
      <w:r>
        <w:rPr>
          <w:lang w:val="ro-RO"/>
        </w:rPr>
        <w:t xml:space="preserve"> </w:t>
      </w:r>
      <w:r w:rsidRPr="00054DEE">
        <w:rPr>
          <w:lang w:val="ro-RO"/>
        </w:rPr>
        <w:t>44).</w:t>
      </w:r>
      <w:r>
        <w:rPr>
          <w:lang w:val="ro-RO"/>
        </w:rPr>
        <w:t xml:space="preserve"> </w:t>
      </w:r>
      <w:r w:rsidRPr="00054DEE">
        <w:rPr>
          <w:lang w:val="ro-RO"/>
        </w:rPr>
        <w:t>To</w:t>
      </w:r>
      <w:r>
        <w:rPr>
          <w:lang w:val="ro-RO"/>
        </w:rPr>
        <w:t>tuşi</w:t>
      </w:r>
      <w:r w:rsidRPr="00054DEE">
        <w:rPr>
          <w:lang w:val="ro-RO"/>
        </w:rPr>
        <w:t>,</w:t>
      </w:r>
      <w:r>
        <w:rPr>
          <w:lang w:val="ro-RO"/>
        </w:rPr>
        <w:t xml:space="preserve"> excepţiile pe care le menajează paragraful 2 al articolului </w:t>
      </w:r>
      <w:r w:rsidRPr="00054DEE">
        <w:rPr>
          <w:lang w:val="ro-RO"/>
        </w:rPr>
        <w:t>8</w:t>
      </w:r>
      <w:r>
        <w:rPr>
          <w:lang w:val="ro-RO"/>
        </w:rPr>
        <w:t xml:space="preserve"> impun o interpretare strânsă, iar necesitatea lor într-un caz dat trebuie să fie stabilită în mod convingător (a se vedea </w:t>
      </w:r>
      <w:r w:rsidRPr="00054DEE">
        <w:rPr>
          <w:i/>
          <w:lang w:val="ro-RO"/>
        </w:rPr>
        <w:t>Buck</w:t>
      </w:r>
      <w:r>
        <w:rPr>
          <w:i/>
          <w:lang w:val="ro-RO"/>
        </w:rPr>
        <w:t xml:space="preserve"> </w:t>
      </w:r>
      <w:r w:rsidRPr="00054DEE">
        <w:rPr>
          <w:i/>
          <w:lang w:val="ro-RO"/>
        </w:rPr>
        <w:t>c.</w:t>
      </w:r>
      <w:r>
        <w:rPr>
          <w:i/>
          <w:lang w:val="ro-RO"/>
        </w:rPr>
        <w:t xml:space="preserve"> </w:t>
      </w:r>
      <w:r w:rsidRPr="00054DEE">
        <w:rPr>
          <w:i/>
          <w:lang w:val="ro-RO"/>
        </w:rPr>
        <w:t>Allemagne</w:t>
      </w:r>
      <w:r>
        <w:rPr>
          <w:lang w:val="ro-RO"/>
        </w:rPr>
        <w:t xml:space="preserve">, nr. </w:t>
      </w:r>
      <w:r w:rsidRPr="00054DEE">
        <w:rPr>
          <w:lang w:val="ro-RO"/>
        </w:rPr>
        <w:t>41604/98,</w:t>
      </w:r>
      <w:r>
        <w:rPr>
          <w:lang w:val="ro-RO"/>
        </w:rPr>
        <w:t xml:space="preserve"> </w:t>
      </w:r>
      <w:r w:rsidRPr="00054DEE">
        <w:rPr>
          <w:lang w:val="ro-RO"/>
        </w:rPr>
        <w:t>§</w:t>
      </w:r>
      <w:r>
        <w:rPr>
          <w:lang w:val="ro-RO"/>
        </w:rPr>
        <w:t xml:space="preserve"> </w:t>
      </w:r>
      <w:r w:rsidRPr="00054DEE">
        <w:rPr>
          <w:lang w:val="ro-RO"/>
        </w:rPr>
        <w:t>44,</w:t>
      </w:r>
      <w:r>
        <w:rPr>
          <w:lang w:val="ro-RO"/>
        </w:rPr>
        <w:t xml:space="preserve"> </w:t>
      </w:r>
      <w:r w:rsidRPr="00054DEE">
        <w:rPr>
          <w:lang w:val="ro-RO"/>
        </w:rPr>
        <w:t>CEDH</w:t>
      </w:r>
      <w:r>
        <w:rPr>
          <w:lang w:val="ro-RO"/>
        </w:rPr>
        <w:t xml:space="preserve"> </w:t>
      </w:r>
      <w:r w:rsidRPr="00054DEE">
        <w:rPr>
          <w:lang w:val="ro-RO"/>
        </w:rPr>
        <w:t>2005</w:t>
      </w:r>
      <w:r w:rsidRPr="00054DEE">
        <w:rPr>
          <w:lang w:val="ro-RO"/>
        </w:rPr>
        <w:noBreakHyphen/>
        <w:t>IV).</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55</w:t>
      </w:r>
      <w:r w:rsidRPr="00054DEE">
        <w:rPr>
          <w:lang w:val="ro-RO"/>
        </w:rPr>
        <w:fldChar w:fldCharType="end"/>
      </w:r>
      <w:r w:rsidRPr="00054DEE">
        <w:rPr>
          <w:lang w:val="ro-RO"/>
        </w:rPr>
        <w:t>.</w:t>
      </w:r>
      <w:r>
        <w:rPr>
          <w:lang w:val="ro-RO"/>
        </w:rPr>
        <w:t xml:space="preserve"> Curtea reaminteşte, de asemenea, că trebuie să se convingă de existenţa unor garanţii adecvate şi suficiente contra abuzurilor </w:t>
      </w:r>
      <w:r w:rsidRPr="00054DEE">
        <w:rPr>
          <w:lang w:val="ro-RO"/>
        </w:rPr>
        <w:t>(</w:t>
      </w:r>
      <w:r w:rsidRPr="00054DEE">
        <w:rPr>
          <w:i/>
          <w:lang w:val="ro-RO"/>
        </w:rPr>
        <w:t>Xavier</w:t>
      </w:r>
      <w:r>
        <w:rPr>
          <w:i/>
          <w:lang w:val="ro-RO"/>
        </w:rPr>
        <w:t xml:space="preserve"> </w:t>
      </w:r>
      <w:r w:rsidRPr="00054DEE">
        <w:rPr>
          <w:i/>
          <w:lang w:val="ro-RO"/>
        </w:rPr>
        <w:t>da</w:t>
      </w:r>
      <w:r>
        <w:rPr>
          <w:i/>
          <w:lang w:val="ro-RO"/>
        </w:rPr>
        <w:t xml:space="preserve"> </w:t>
      </w:r>
      <w:r w:rsidRPr="00054DEE">
        <w:rPr>
          <w:i/>
          <w:lang w:val="ro-RO"/>
        </w:rPr>
        <w:t>Silveira</w:t>
      </w:r>
      <w:r w:rsidRPr="00054DEE">
        <w:rPr>
          <w:lang w:val="ro-RO"/>
        </w:rPr>
        <w:t>,</w:t>
      </w:r>
      <w:r>
        <w:rPr>
          <w:lang w:val="ro-RO"/>
        </w:rPr>
        <w:t xml:space="preserve"> citat anterior</w:t>
      </w:r>
      <w:r w:rsidRPr="00054DEE">
        <w:rPr>
          <w:lang w:val="ro-RO"/>
        </w:rPr>
        <w:t>,</w:t>
      </w:r>
      <w:r>
        <w:rPr>
          <w:lang w:val="ro-RO"/>
        </w:rPr>
        <w:t xml:space="preserve"> </w:t>
      </w:r>
      <w:r w:rsidRPr="00054DEE">
        <w:rPr>
          <w:lang w:val="ro-RO"/>
        </w:rPr>
        <w:t>§</w:t>
      </w:r>
      <w:r>
        <w:rPr>
          <w:lang w:val="ro-RO"/>
        </w:rPr>
        <w:t xml:space="preserve"> </w:t>
      </w:r>
      <w:r w:rsidRPr="00054DEE">
        <w:rPr>
          <w:lang w:val="ro-RO"/>
        </w:rPr>
        <w:t>34)</w:t>
      </w:r>
      <w:r>
        <w:rPr>
          <w:lang w:val="ro-RO"/>
        </w:rPr>
        <w:t xml:space="preserve"> inclusiv că „un control eficace” pentru contestarea măsurii litigioase (a se vedea</w:t>
      </w:r>
      <w:r w:rsidRPr="00054DEE">
        <w:rPr>
          <w:lang w:val="ro-RO"/>
        </w:rPr>
        <w:t>,</w:t>
      </w:r>
      <w:r>
        <w:rPr>
          <w:lang w:val="ro-RO"/>
        </w:rPr>
        <w:t xml:space="preserve"> printre multe altele</w:t>
      </w:r>
      <w:r w:rsidRPr="00054DEE">
        <w:rPr>
          <w:lang w:val="ro-RO"/>
        </w:rPr>
        <w:t>,</w:t>
      </w:r>
      <w:r>
        <w:rPr>
          <w:lang w:val="ro-RO"/>
        </w:rPr>
        <w:t xml:space="preserve"> </w:t>
      </w:r>
      <w:r w:rsidRPr="00054DEE">
        <w:rPr>
          <w:i/>
          <w:lang w:val="ro-RO"/>
        </w:rPr>
        <w:t>Miailhe</w:t>
      </w:r>
      <w:r>
        <w:rPr>
          <w:i/>
          <w:lang w:val="ro-RO"/>
        </w:rPr>
        <w:t xml:space="preserve"> </w:t>
      </w:r>
      <w:r w:rsidRPr="00054DEE">
        <w:rPr>
          <w:i/>
          <w:lang w:val="ro-RO"/>
        </w:rPr>
        <w:t>c.</w:t>
      </w:r>
      <w:r>
        <w:rPr>
          <w:i/>
          <w:lang w:val="ro-RO"/>
        </w:rPr>
        <w:t xml:space="preserve"> </w:t>
      </w:r>
      <w:r w:rsidRPr="00054DEE">
        <w:rPr>
          <w:i/>
          <w:lang w:val="ro-RO"/>
        </w:rPr>
        <w:t>France</w:t>
      </w:r>
      <w:r>
        <w:rPr>
          <w:lang w:val="ro-RO"/>
        </w:rPr>
        <w:t xml:space="preserve"> </w:t>
      </w:r>
      <w:r w:rsidRPr="00054DEE">
        <w:rPr>
          <w:lang w:val="ro-RO"/>
        </w:rPr>
        <w:t>(</w:t>
      </w:r>
      <w:r>
        <w:rPr>
          <w:lang w:val="ro-RO"/>
        </w:rPr>
        <w:t xml:space="preserve">nr. </w:t>
      </w:r>
      <w:r w:rsidRPr="00054DEE">
        <w:rPr>
          <w:lang w:val="ro-RO"/>
        </w:rPr>
        <w:t>1),</w:t>
      </w:r>
      <w:r>
        <w:rPr>
          <w:lang w:val="ro-RO"/>
        </w:rPr>
        <w:t xml:space="preserve"> </w:t>
      </w:r>
      <w:r w:rsidRPr="00054DEE">
        <w:rPr>
          <w:lang w:val="ro-RO"/>
        </w:rPr>
        <w:t>25</w:t>
      </w:r>
      <w:r>
        <w:rPr>
          <w:lang w:val="ro-RO"/>
        </w:rPr>
        <w:t xml:space="preserve"> februarie </w:t>
      </w:r>
      <w:r w:rsidRPr="00054DEE">
        <w:rPr>
          <w:lang w:val="ro-RO"/>
        </w:rPr>
        <w:t>1993,</w:t>
      </w:r>
      <w:r>
        <w:rPr>
          <w:lang w:val="ro-RO"/>
        </w:rPr>
        <w:t xml:space="preserve"> </w:t>
      </w:r>
      <w:r w:rsidRPr="00054DEE">
        <w:rPr>
          <w:lang w:val="ro-RO"/>
        </w:rPr>
        <w:t>§</w:t>
      </w:r>
      <w:r>
        <w:rPr>
          <w:lang w:val="ro-RO"/>
        </w:rPr>
        <w:t xml:space="preserve"> </w:t>
      </w:r>
      <w:r w:rsidRPr="00054DEE">
        <w:rPr>
          <w:lang w:val="ro-RO"/>
        </w:rPr>
        <w:t>37,</w:t>
      </w:r>
      <w:r>
        <w:rPr>
          <w:lang w:val="ro-RO"/>
        </w:rPr>
        <w:t xml:space="preserve"> seria </w:t>
      </w:r>
      <w:r w:rsidRPr="00054DEE">
        <w:rPr>
          <w:lang w:val="ro-RO"/>
        </w:rPr>
        <w:t>A</w:t>
      </w:r>
      <w:r>
        <w:rPr>
          <w:lang w:val="ro-RO"/>
        </w:rPr>
        <w:t xml:space="preserve"> </w:t>
      </w:r>
      <w:r w:rsidRPr="00054DEE">
        <w:rPr>
          <w:lang w:val="ro-RO"/>
        </w:rPr>
        <w:t>n</w:t>
      </w:r>
      <w:r>
        <w:rPr>
          <w:lang w:val="ro-RO"/>
        </w:rPr>
        <w:t xml:space="preserve">r. </w:t>
      </w:r>
      <w:r w:rsidRPr="00054DEE">
        <w:rPr>
          <w:lang w:val="ro-RO"/>
        </w:rPr>
        <w:t>256</w:t>
      </w:r>
      <w:r w:rsidRPr="00054DEE">
        <w:rPr>
          <w:rFonts w:ascii="MS Mincho" w:hAnsi="MS Mincho" w:cs="MS Mincho" w:hint="eastAsia"/>
          <w:lang w:val="ro-RO"/>
        </w:rPr>
        <w:t>‑</w:t>
      </w:r>
      <w:r w:rsidRPr="00054DEE">
        <w:rPr>
          <w:lang w:val="ro-RO"/>
        </w:rPr>
        <w:t>C,</w:t>
      </w:r>
      <w:r>
        <w:rPr>
          <w:lang w:val="ro-RO"/>
        </w:rPr>
        <w:t xml:space="preserve"> </w:t>
      </w:r>
      <w:r w:rsidRPr="00054DEE">
        <w:rPr>
          <w:i/>
          <w:lang w:val="ro-RO"/>
        </w:rPr>
        <w:t>Funke</w:t>
      </w:r>
      <w:r>
        <w:rPr>
          <w:i/>
          <w:lang w:val="ro-RO"/>
        </w:rPr>
        <w:t xml:space="preserve"> </w:t>
      </w:r>
      <w:r w:rsidRPr="00054DEE">
        <w:rPr>
          <w:i/>
          <w:lang w:val="ro-RO"/>
        </w:rPr>
        <w:t>c.</w:t>
      </w:r>
      <w:r>
        <w:rPr>
          <w:i/>
          <w:lang w:val="ro-RO"/>
        </w:rPr>
        <w:t xml:space="preserve"> </w:t>
      </w:r>
      <w:r w:rsidRPr="00054DEE">
        <w:rPr>
          <w:i/>
          <w:lang w:val="ro-RO"/>
        </w:rPr>
        <w:t>France</w:t>
      </w:r>
      <w:r w:rsidRPr="00054DEE">
        <w:rPr>
          <w:lang w:val="ro-RO"/>
        </w:rPr>
        <w:t>,</w:t>
      </w:r>
      <w:r>
        <w:rPr>
          <w:lang w:val="ro-RO"/>
        </w:rPr>
        <w:t xml:space="preserve"> </w:t>
      </w:r>
      <w:r w:rsidRPr="00054DEE">
        <w:rPr>
          <w:lang w:val="ro-RO"/>
        </w:rPr>
        <w:t>25</w:t>
      </w:r>
      <w:r>
        <w:rPr>
          <w:lang w:val="ro-RO"/>
        </w:rPr>
        <w:t xml:space="preserve"> februarie </w:t>
      </w:r>
      <w:r w:rsidRPr="00054DEE">
        <w:rPr>
          <w:lang w:val="ro-RO"/>
        </w:rPr>
        <w:t>1993,</w:t>
      </w:r>
      <w:r>
        <w:rPr>
          <w:lang w:val="ro-RO"/>
        </w:rPr>
        <w:t xml:space="preserve"> </w:t>
      </w:r>
      <w:r w:rsidRPr="00054DEE">
        <w:rPr>
          <w:lang w:val="ro-RO"/>
        </w:rPr>
        <w:t>§</w:t>
      </w:r>
      <w:r>
        <w:rPr>
          <w:lang w:val="ro-RO"/>
        </w:rPr>
        <w:t xml:space="preserve"> </w:t>
      </w:r>
      <w:r w:rsidRPr="00054DEE">
        <w:rPr>
          <w:lang w:val="ro-RO"/>
        </w:rPr>
        <w:t>56,</w:t>
      </w:r>
      <w:r>
        <w:rPr>
          <w:lang w:val="ro-RO"/>
        </w:rPr>
        <w:t xml:space="preserve"> seria </w:t>
      </w:r>
      <w:r w:rsidRPr="00054DEE">
        <w:rPr>
          <w:lang w:val="ro-RO"/>
        </w:rPr>
        <w:t>A</w:t>
      </w:r>
      <w:r>
        <w:rPr>
          <w:lang w:val="ro-RO"/>
        </w:rPr>
        <w:t xml:space="preserve"> </w:t>
      </w:r>
      <w:r w:rsidRPr="00054DEE">
        <w:rPr>
          <w:lang w:val="ro-RO"/>
        </w:rPr>
        <w:t>n</w:t>
      </w:r>
      <w:r>
        <w:rPr>
          <w:lang w:val="ro-RO"/>
        </w:rPr>
        <w:t xml:space="preserve">r. </w:t>
      </w:r>
      <w:r w:rsidRPr="00054DEE">
        <w:rPr>
          <w:lang w:val="ro-RO"/>
        </w:rPr>
        <w:t>256</w:t>
      </w:r>
      <w:r w:rsidRPr="00054DEE">
        <w:rPr>
          <w:rFonts w:ascii="MS Mincho" w:hAnsi="MS Mincho" w:cs="MS Mincho" w:hint="eastAsia"/>
          <w:lang w:val="ro-RO"/>
        </w:rPr>
        <w:t>‑</w:t>
      </w:r>
      <w:r w:rsidRPr="00054DEE">
        <w:rPr>
          <w:lang w:val="ro-RO"/>
        </w:rPr>
        <w:t>A,</w:t>
      </w:r>
      <w:r>
        <w:rPr>
          <w:lang w:val="ro-RO"/>
        </w:rPr>
        <w:t xml:space="preserve"> </w:t>
      </w:r>
      <w:r w:rsidRPr="00054DEE">
        <w:rPr>
          <w:i/>
          <w:lang w:val="ro-RO"/>
        </w:rPr>
        <w:t>Crémieux</w:t>
      </w:r>
      <w:r>
        <w:rPr>
          <w:i/>
          <w:lang w:val="ro-RO"/>
        </w:rPr>
        <w:t xml:space="preserve"> </w:t>
      </w:r>
      <w:r w:rsidRPr="00054DEE">
        <w:rPr>
          <w:i/>
          <w:lang w:val="ro-RO"/>
        </w:rPr>
        <w:t>c.</w:t>
      </w:r>
      <w:r>
        <w:rPr>
          <w:i/>
          <w:lang w:val="ro-RO"/>
        </w:rPr>
        <w:t xml:space="preserve"> </w:t>
      </w:r>
      <w:r w:rsidRPr="00054DEE">
        <w:rPr>
          <w:i/>
          <w:lang w:val="ro-RO"/>
        </w:rPr>
        <w:t>France</w:t>
      </w:r>
      <w:r w:rsidRPr="00054DEE">
        <w:rPr>
          <w:lang w:val="ro-RO"/>
        </w:rPr>
        <w:t>,</w:t>
      </w:r>
      <w:r>
        <w:rPr>
          <w:lang w:val="ro-RO"/>
        </w:rPr>
        <w:t xml:space="preserve"> </w:t>
      </w:r>
      <w:r w:rsidRPr="00054DEE">
        <w:rPr>
          <w:lang w:val="ro-RO"/>
        </w:rPr>
        <w:t>25</w:t>
      </w:r>
      <w:r>
        <w:rPr>
          <w:lang w:val="ro-RO"/>
        </w:rPr>
        <w:t xml:space="preserve"> februarie </w:t>
      </w:r>
      <w:r w:rsidRPr="00054DEE">
        <w:rPr>
          <w:lang w:val="ro-RO"/>
        </w:rPr>
        <w:t>1993,</w:t>
      </w:r>
      <w:r>
        <w:rPr>
          <w:lang w:val="ro-RO"/>
        </w:rPr>
        <w:t xml:space="preserve"> </w:t>
      </w:r>
      <w:r w:rsidRPr="00054DEE">
        <w:rPr>
          <w:lang w:val="ro-RO"/>
        </w:rPr>
        <w:t>§</w:t>
      </w:r>
      <w:r>
        <w:rPr>
          <w:lang w:val="ro-RO"/>
        </w:rPr>
        <w:t xml:space="preserve"> </w:t>
      </w:r>
      <w:r w:rsidRPr="00054DEE">
        <w:rPr>
          <w:lang w:val="ro-RO"/>
        </w:rPr>
        <w:t>39,</w:t>
      </w:r>
      <w:r>
        <w:rPr>
          <w:lang w:val="ro-RO"/>
        </w:rPr>
        <w:t xml:space="preserve"> seria </w:t>
      </w:r>
      <w:r w:rsidRPr="00054DEE">
        <w:rPr>
          <w:lang w:val="ro-RO"/>
        </w:rPr>
        <w:t>A</w:t>
      </w:r>
      <w:r>
        <w:rPr>
          <w:lang w:val="ro-RO"/>
        </w:rPr>
        <w:t xml:space="preserve"> </w:t>
      </w:r>
      <w:r w:rsidRPr="00054DEE">
        <w:rPr>
          <w:lang w:val="ro-RO"/>
        </w:rPr>
        <w:t>n</w:t>
      </w:r>
      <w:r>
        <w:rPr>
          <w:lang w:val="ro-RO"/>
        </w:rPr>
        <w:t xml:space="preserve">r. </w:t>
      </w:r>
      <w:r w:rsidRPr="00054DEE">
        <w:rPr>
          <w:lang w:val="ro-RO"/>
        </w:rPr>
        <w:t>256</w:t>
      </w:r>
      <w:r w:rsidRPr="00054DEE">
        <w:rPr>
          <w:rFonts w:ascii="MS Mincho" w:hAnsi="MS Mincho" w:cs="MS Mincho" w:hint="eastAsia"/>
          <w:lang w:val="ro-RO"/>
        </w:rPr>
        <w:t>‑</w:t>
      </w:r>
      <w:r w:rsidRPr="00054DEE">
        <w:rPr>
          <w:lang w:val="ro-RO"/>
        </w:rPr>
        <w:t>B,</w:t>
      </w:r>
      <w:r>
        <w:rPr>
          <w:lang w:val="ro-RO"/>
        </w:rPr>
        <w:t xml:space="preserve"> precum şi</w:t>
      </w:r>
      <w:r w:rsidRPr="00054DEE">
        <w:rPr>
          <w:lang w:val="ro-RO"/>
        </w:rPr>
        <w:t>,</w:t>
      </w:r>
      <w:r>
        <w:rPr>
          <w:lang w:val="ro-RO"/>
        </w:rPr>
        <w:t xml:space="preserve"> </w:t>
      </w:r>
      <w:r w:rsidRPr="00054DEE">
        <w:rPr>
          <w:i/>
          <w:lang w:val="ro-RO"/>
        </w:rPr>
        <w:t>mutatis</w:t>
      </w:r>
      <w:r>
        <w:rPr>
          <w:i/>
          <w:lang w:val="ro-RO"/>
        </w:rPr>
        <w:t xml:space="preserve"> </w:t>
      </w:r>
      <w:r w:rsidRPr="00054DEE">
        <w:rPr>
          <w:i/>
          <w:lang w:val="ro-RO"/>
        </w:rPr>
        <w:t>mutandis</w:t>
      </w:r>
      <w:r w:rsidRPr="00054DEE">
        <w:rPr>
          <w:lang w:val="ro-RO"/>
        </w:rPr>
        <w:t>,</w:t>
      </w:r>
      <w:r>
        <w:rPr>
          <w:lang w:val="ro-RO"/>
        </w:rPr>
        <w:t xml:space="preserve"> </w:t>
      </w:r>
      <w:r w:rsidRPr="00054DEE">
        <w:rPr>
          <w:i/>
          <w:lang w:val="ro-RO"/>
        </w:rPr>
        <w:t>Klass</w:t>
      </w:r>
      <w:r>
        <w:rPr>
          <w:i/>
          <w:lang w:val="ro-RO"/>
        </w:rPr>
        <w:t xml:space="preserve"> şi alţii </w:t>
      </w:r>
      <w:r w:rsidRPr="00054DEE">
        <w:rPr>
          <w:i/>
          <w:lang w:val="ro-RO"/>
        </w:rPr>
        <w:t>c.</w:t>
      </w:r>
      <w:r>
        <w:rPr>
          <w:i/>
          <w:lang w:val="ro-RO"/>
        </w:rPr>
        <w:t xml:space="preserve"> </w:t>
      </w:r>
      <w:r w:rsidRPr="00054DEE">
        <w:rPr>
          <w:i/>
          <w:lang w:val="ro-RO"/>
        </w:rPr>
        <w:t>Allemagne</w:t>
      </w:r>
      <w:r w:rsidRPr="00054DEE">
        <w:rPr>
          <w:lang w:val="ro-RO"/>
        </w:rPr>
        <w:t>,</w:t>
      </w:r>
      <w:r>
        <w:rPr>
          <w:lang w:val="ro-RO"/>
        </w:rPr>
        <w:t xml:space="preserve"> </w:t>
      </w:r>
      <w:r w:rsidRPr="00054DEE">
        <w:rPr>
          <w:lang w:val="ro-RO"/>
        </w:rPr>
        <w:t>6</w:t>
      </w:r>
      <w:r>
        <w:rPr>
          <w:lang w:val="ro-RO"/>
        </w:rPr>
        <w:t xml:space="preserve"> septembrie </w:t>
      </w:r>
      <w:r w:rsidRPr="00054DEE">
        <w:rPr>
          <w:lang w:val="ro-RO"/>
        </w:rPr>
        <w:t>1978,</w:t>
      </w:r>
      <w:r>
        <w:rPr>
          <w:lang w:val="ro-RO"/>
        </w:rPr>
        <w:t xml:space="preserve"> </w:t>
      </w:r>
      <w:r w:rsidRPr="00054DEE">
        <w:rPr>
          <w:lang w:val="ro-RO"/>
        </w:rPr>
        <w:t>§§</w:t>
      </w:r>
      <w:r>
        <w:rPr>
          <w:lang w:val="ro-RO"/>
        </w:rPr>
        <w:t xml:space="preserve"> </w:t>
      </w:r>
      <w:r w:rsidRPr="00054DEE">
        <w:rPr>
          <w:lang w:val="ro-RO"/>
        </w:rPr>
        <w:t>50,</w:t>
      </w:r>
      <w:r>
        <w:rPr>
          <w:lang w:val="ro-RO"/>
        </w:rPr>
        <w:t xml:space="preserve"> </w:t>
      </w:r>
      <w:r w:rsidRPr="00054DEE">
        <w:rPr>
          <w:lang w:val="ro-RO"/>
        </w:rPr>
        <w:t>54</w:t>
      </w:r>
      <w:r>
        <w:rPr>
          <w:lang w:val="ro-RO"/>
        </w:rPr>
        <w:t xml:space="preserve"> şi </w:t>
      </w:r>
      <w:r w:rsidRPr="00054DEE">
        <w:rPr>
          <w:lang w:val="ro-RO"/>
        </w:rPr>
        <w:t>55,</w:t>
      </w:r>
      <w:r>
        <w:rPr>
          <w:lang w:val="ro-RO"/>
        </w:rPr>
        <w:t xml:space="preserve"> seria </w:t>
      </w:r>
      <w:r w:rsidRPr="00054DEE">
        <w:rPr>
          <w:lang w:val="ro-RO"/>
        </w:rPr>
        <w:t>A</w:t>
      </w:r>
      <w:r>
        <w:rPr>
          <w:lang w:val="ro-RO"/>
        </w:rPr>
        <w:t xml:space="preserve"> </w:t>
      </w:r>
      <w:r w:rsidRPr="00054DEE">
        <w:rPr>
          <w:lang w:val="ro-RO"/>
        </w:rPr>
        <w:t>n</w:t>
      </w:r>
      <w:r>
        <w:rPr>
          <w:lang w:val="ro-RO"/>
        </w:rPr>
        <w:t xml:space="preserve">r. </w:t>
      </w:r>
      <w:r w:rsidRPr="00054DEE">
        <w:rPr>
          <w:lang w:val="ro-RO"/>
        </w:rPr>
        <w:t>28,</w:t>
      </w:r>
      <w:r>
        <w:rPr>
          <w:lang w:val="ro-RO"/>
        </w:rPr>
        <w:t xml:space="preserve"> </w:t>
      </w:r>
      <w:r w:rsidRPr="00054DEE">
        <w:rPr>
          <w:i/>
          <w:lang w:val="ro-RO"/>
        </w:rPr>
        <w:t>Lambert</w:t>
      </w:r>
      <w:r>
        <w:rPr>
          <w:i/>
          <w:lang w:val="ro-RO"/>
        </w:rPr>
        <w:t xml:space="preserve"> </w:t>
      </w:r>
      <w:r w:rsidRPr="00054DEE">
        <w:rPr>
          <w:i/>
          <w:lang w:val="ro-RO"/>
        </w:rPr>
        <w:t>c.</w:t>
      </w:r>
      <w:r>
        <w:rPr>
          <w:i/>
          <w:lang w:val="ro-RO"/>
        </w:rPr>
        <w:t xml:space="preserve"> </w:t>
      </w:r>
      <w:r w:rsidRPr="00054DEE">
        <w:rPr>
          <w:i/>
          <w:lang w:val="ro-RO"/>
        </w:rPr>
        <w:t>France</w:t>
      </w:r>
      <w:r w:rsidRPr="00054DEE">
        <w:rPr>
          <w:lang w:val="ro-RO"/>
        </w:rPr>
        <w:t>,</w:t>
      </w:r>
      <w:r>
        <w:rPr>
          <w:lang w:val="ro-RO"/>
        </w:rPr>
        <w:t xml:space="preserve"> </w:t>
      </w:r>
      <w:r w:rsidRPr="00054DEE">
        <w:rPr>
          <w:lang w:val="ro-RO"/>
        </w:rPr>
        <w:t>24</w:t>
      </w:r>
      <w:r>
        <w:rPr>
          <w:lang w:val="ro-RO"/>
        </w:rPr>
        <w:t xml:space="preserve"> </w:t>
      </w:r>
      <w:r w:rsidRPr="00054DEE">
        <w:rPr>
          <w:lang w:val="ro-RO"/>
        </w:rPr>
        <w:t>a</w:t>
      </w:r>
      <w:r>
        <w:rPr>
          <w:lang w:val="ro-RO"/>
        </w:rPr>
        <w:t xml:space="preserve">ugust </w:t>
      </w:r>
      <w:r w:rsidRPr="00054DEE">
        <w:rPr>
          <w:lang w:val="ro-RO"/>
        </w:rPr>
        <w:t>1998,</w:t>
      </w:r>
      <w:r>
        <w:rPr>
          <w:lang w:val="ro-RO"/>
        </w:rPr>
        <w:t xml:space="preserve"> </w:t>
      </w:r>
      <w:r w:rsidRPr="00054DEE">
        <w:rPr>
          <w:lang w:val="ro-RO"/>
        </w:rPr>
        <w:t>§</w:t>
      </w:r>
      <w:r>
        <w:rPr>
          <w:lang w:val="ro-RO"/>
        </w:rPr>
        <w:t xml:space="preserve"> </w:t>
      </w:r>
      <w:r w:rsidRPr="00054DEE">
        <w:rPr>
          <w:lang w:val="ro-RO"/>
        </w:rPr>
        <w:t>31,</w:t>
      </w:r>
      <w:r>
        <w:rPr>
          <w:lang w:val="ro-RO"/>
        </w:rPr>
        <w:t xml:space="preserve"> </w:t>
      </w:r>
      <w:r w:rsidRPr="00054DEE">
        <w:rPr>
          <w:i/>
          <w:lang w:val="ro-RO"/>
        </w:rPr>
        <w:t>Recueil</w:t>
      </w:r>
      <w:r>
        <w:rPr>
          <w:i/>
          <w:lang w:val="ro-RO"/>
        </w:rPr>
        <w:t xml:space="preserve"> </w:t>
      </w:r>
      <w:r w:rsidRPr="00054DEE">
        <w:rPr>
          <w:i/>
          <w:lang w:val="ro-RO"/>
        </w:rPr>
        <w:t>des</w:t>
      </w:r>
      <w:r>
        <w:rPr>
          <w:i/>
          <w:lang w:val="ro-RO"/>
        </w:rPr>
        <w:t xml:space="preserve"> </w:t>
      </w:r>
      <w:r w:rsidRPr="00054DEE">
        <w:rPr>
          <w:i/>
          <w:lang w:val="ro-RO"/>
        </w:rPr>
        <w:t>arrêts</w:t>
      </w:r>
      <w:r>
        <w:rPr>
          <w:i/>
          <w:lang w:val="ro-RO"/>
        </w:rPr>
        <w:t xml:space="preserve"> et </w:t>
      </w:r>
      <w:r w:rsidRPr="00054DEE">
        <w:rPr>
          <w:i/>
          <w:lang w:val="ro-RO"/>
        </w:rPr>
        <w:t>décisions</w:t>
      </w:r>
      <w:r>
        <w:rPr>
          <w:lang w:val="ro-RO"/>
        </w:rPr>
        <w:t xml:space="preserve"> </w:t>
      </w:r>
      <w:r w:rsidRPr="00054DEE">
        <w:rPr>
          <w:lang w:val="ro-RO"/>
        </w:rPr>
        <w:t>1998</w:t>
      </w:r>
      <w:r w:rsidRPr="00054DEE">
        <w:rPr>
          <w:lang w:val="ro-RO"/>
        </w:rPr>
        <w:noBreakHyphen/>
        <w:t>V</w:t>
      </w:r>
      <w:r>
        <w:rPr>
          <w:lang w:val="ro-RO"/>
        </w:rPr>
        <w:t xml:space="preserve"> şi </w:t>
      </w:r>
      <w:r w:rsidRPr="00054DEE">
        <w:rPr>
          <w:i/>
          <w:lang w:val="ro-RO"/>
        </w:rPr>
        <w:t>Matheron</w:t>
      </w:r>
      <w:r>
        <w:rPr>
          <w:i/>
          <w:lang w:val="ro-RO"/>
        </w:rPr>
        <w:t xml:space="preserve"> </w:t>
      </w:r>
      <w:r w:rsidRPr="00054DEE">
        <w:rPr>
          <w:i/>
          <w:lang w:val="ro-RO"/>
        </w:rPr>
        <w:t>c.</w:t>
      </w:r>
      <w:r>
        <w:rPr>
          <w:i/>
          <w:lang w:val="ro-RO"/>
        </w:rPr>
        <w:t xml:space="preserve"> </w:t>
      </w:r>
      <w:r w:rsidRPr="00054DEE">
        <w:rPr>
          <w:i/>
          <w:lang w:val="ro-RO"/>
        </w:rPr>
        <w:t>France</w:t>
      </w:r>
      <w:r w:rsidRPr="00054DEE">
        <w:rPr>
          <w:lang w:val="ro-RO"/>
        </w:rPr>
        <w:t>,</w:t>
      </w:r>
      <w:r>
        <w:rPr>
          <w:lang w:val="ro-RO"/>
        </w:rPr>
        <w:t xml:space="preserve"> </w:t>
      </w:r>
      <w:r w:rsidRPr="00054DEE">
        <w:rPr>
          <w:lang w:val="ro-RO"/>
        </w:rPr>
        <w:t>n</w:t>
      </w:r>
      <w:r>
        <w:rPr>
          <w:lang w:val="ro-RO"/>
        </w:rPr>
        <w:t xml:space="preserve">r. </w:t>
      </w:r>
      <w:r w:rsidRPr="00054DEE">
        <w:rPr>
          <w:lang w:val="ro-RO"/>
        </w:rPr>
        <w:t>57752/00,</w:t>
      </w:r>
      <w:r>
        <w:rPr>
          <w:lang w:val="ro-RO"/>
        </w:rPr>
        <w:t xml:space="preserve"> </w:t>
      </w:r>
      <w:r w:rsidRPr="00054DEE">
        <w:rPr>
          <w:lang w:val="ro-RO"/>
        </w:rPr>
        <w:t>§</w:t>
      </w:r>
      <w:r>
        <w:rPr>
          <w:lang w:val="ro-RO"/>
        </w:rPr>
        <w:t xml:space="preserve"> </w:t>
      </w:r>
      <w:r w:rsidRPr="00054DEE">
        <w:rPr>
          <w:lang w:val="ro-RO"/>
        </w:rPr>
        <w:t>35,</w:t>
      </w:r>
      <w:r>
        <w:rPr>
          <w:lang w:val="ro-RO"/>
        </w:rPr>
        <w:t xml:space="preserve"> </w:t>
      </w:r>
      <w:r w:rsidRPr="00054DEE">
        <w:rPr>
          <w:lang w:val="ro-RO"/>
        </w:rPr>
        <w:t>29</w:t>
      </w:r>
      <w:r>
        <w:rPr>
          <w:lang w:val="ro-RO"/>
        </w:rPr>
        <w:t xml:space="preserve"> martie </w:t>
      </w:r>
      <w:r w:rsidRPr="00054DEE">
        <w:rPr>
          <w:lang w:val="ro-RO"/>
        </w:rPr>
        <w:t>2005).</w:t>
      </w:r>
      <w:r>
        <w:rPr>
          <w:lang w:val="ro-RO"/>
        </w:rPr>
        <w:t xml:space="preserve"> Curtea reaminteşte, de asemenea, că protecţia secretului profesional legat de corespondenţele dintre un </w:t>
      </w:r>
      <w:r w:rsidRPr="00054DEE">
        <w:rPr>
          <w:lang w:val="ro-RO"/>
        </w:rPr>
        <w:t>avocat</w:t>
      </w:r>
      <w:r>
        <w:rPr>
          <w:lang w:val="ro-RO"/>
        </w:rPr>
        <w:t xml:space="preserve"> şi clientul său este</w:t>
      </w:r>
      <w:r w:rsidRPr="00054DEE">
        <w:rPr>
          <w:lang w:val="ro-RO"/>
        </w:rPr>
        <w:t>,</w:t>
      </w:r>
      <w:r>
        <w:rPr>
          <w:lang w:val="ro-RO"/>
        </w:rPr>
        <w:t xml:space="preserve"> în special, corolarul de drept că acesta din urmă nu poate contribui la propria sa încriminare </w:t>
      </w:r>
      <w:r w:rsidRPr="00054DEE">
        <w:rPr>
          <w:lang w:val="ro-RO"/>
        </w:rPr>
        <w:t>(</w:t>
      </w:r>
      <w:r w:rsidRPr="00054DEE">
        <w:rPr>
          <w:i/>
          <w:lang w:val="ro-RO"/>
        </w:rPr>
        <w:t>André</w:t>
      </w:r>
      <w:r>
        <w:rPr>
          <w:i/>
          <w:lang w:val="ro-RO"/>
        </w:rPr>
        <w:t xml:space="preserve"> et </w:t>
      </w:r>
      <w:r w:rsidRPr="00054DEE">
        <w:rPr>
          <w:i/>
          <w:lang w:val="ro-RO"/>
        </w:rPr>
        <w:t>autre</w:t>
      </w:r>
      <w:r w:rsidRPr="00054DEE">
        <w:rPr>
          <w:lang w:val="ro-RO"/>
        </w:rPr>
        <w:t>,</w:t>
      </w:r>
      <w:r>
        <w:rPr>
          <w:lang w:val="ro-RO"/>
        </w:rPr>
        <w:t xml:space="preserve"> citat anterior</w:t>
      </w:r>
      <w:r w:rsidRPr="00054DEE">
        <w:rPr>
          <w:lang w:val="ro-RO"/>
        </w:rPr>
        <w:t>,</w:t>
      </w:r>
      <w:r>
        <w:rPr>
          <w:lang w:val="ro-RO"/>
        </w:rPr>
        <w:t xml:space="preserve"> </w:t>
      </w:r>
      <w:r w:rsidRPr="00054DEE">
        <w:rPr>
          <w:lang w:val="ro-RO"/>
        </w:rPr>
        <w:t>§</w:t>
      </w:r>
      <w:r>
        <w:rPr>
          <w:lang w:val="ro-RO"/>
        </w:rPr>
        <w:t xml:space="preserve"> </w:t>
      </w:r>
      <w:r w:rsidRPr="00054DEE">
        <w:rPr>
          <w:lang w:val="ro-RO"/>
        </w:rPr>
        <w:t>41)</w:t>
      </w:r>
      <w:r>
        <w:rPr>
          <w:lang w:val="ro-RO"/>
        </w:rPr>
        <w:t xml:space="preserve"> şi că, în consecinţă</w:t>
      </w:r>
      <w:r w:rsidRPr="00054DEE">
        <w:rPr>
          <w:lang w:val="ro-RO"/>
        </w:rPr>
        <w:t>,</w:t>
      </w:r>
      <w:r>
        <w:rPr>
          <w:lang w:val="ro-RO"/>
        </w:rPr>
        <w:t xml:space="preserve"> aceste schimburi beneficiază de o protecţie consolidată </w:t>
      </w:r>
      <w:r w:rsidRPr="00054DEE">
        <w:rPr>
          <w:lang w:val="ro-RO"/>
        </w:rPr>
        <w:t>(</w:t>
      </w:r>
      <w:r w:rsidRPr="00054DEE">
        <w:rPr>
          <w:i/>
          <w:lang w:val="ro-RO"/>
        </w:rPr>
        <w:t>Michaud</w:t>
      </w:r>
      <w:r>
        <w:rPr>
          <w:i/>
          <w:lang w:val="ro-RO"/>
        </w:rPr>
        <w:t xml:space="preserve"> </w:t>
      </w:r>
      <w:r w:rsidRPr="00054DEE">
        <w:rPr>
          <w:i/>
          <w:lang w:val="ro-RO"/>
        </w:rPr>
        <w:t>c.</w:t>
      </w:r>
      <w:r>
        <w:rPr>
          <w:i/>
          <w:lang w:val="ro-RO"/>
        </w:rPr>
        <w:t xml:space="preserve"> </w:t>
      </w:r>
      <w:r w:rsidRPr="00054DEE">
        <w:rPr>
          <w:i/>
          <w:lang w:val="ro-RO"/>
        </w:rPr>
        <w:t>France</w:t>
      </w:r>
      <w:r w:rsidRPr="00054DEE">
        <w:rPr>
          <w:lang w:val="ro-RO"/>
        </w:rPr>
        <w:t>,</w:t>
      </w:r>
      <w:r>
        <w:rPr>
          <w:lang w:val="ro-RO"/>
        </w:rPr>
        <w:t xml:space="preserve"> </w:t>
      </w:r>
      <w:r w:rsidRPr="00054DEE">
        <w:rPr>
          <w:lang w:val="ro-RO"/>
        </w:rPr>
        <w:t>n</w:t>
      </w:r>
      <w:r>
        <w:rPr>
          <w:lang w:val="ro-RO"/>
        </w:rPr>
        <w:t xml:space="preserve">r. </w:t>
      </w:r>
      <w:r w:rsidRPr="00054DEE">
        <w:rPr>
          <w:lang w:val="ro-RO"/>
        </w:rPr>
        <w:t>12323/11,</w:t>
      </w:r>
      <w:r>
        <w:rPr>
          <w:lang w:val="ro-RO"/>
        </w:rPr>
        <w:t xml:space="preserve"> </w:t>
      </w:r>
      <w:r w:rsidRPr="00054DEE">
        <w:rPr>
          <w:lang w:val="ro-RO"/>
        </w:rPr>
        <w:t>§§</w:t>
      </w:r>
      <w:r>
        <w:rPr>
          <w:lang w:val="ro-RO"/>
        </w:rPr>
        <w:t xml:space="preserve"> </w:t>
      </w:r>
      <w:r w:rsidRPr="00054DEE">
        <w:rPr>
          <w:lang w:val="ro-RO"/>
        </w:rPr>
        <w:t>117-118,</w:t>
      </w:r>
      <w:r>
        <w:rPr>
          <w:lang w:val="ro-RO"/>
        </w:rPr>
        <w:t xml:space="preserve"> </w:t>
      </w:r>
      <w:r w:rsidRPr="00054DEE">
        <w:rPr>
          <w:lang w:val="ro-RO"/>
        </w:rPr>
        <w:t>CEDH</w:t>
      </w:r>
      <w:r>
        <w:rPr>
          <w:lang w:val="ro-RO"/>
        </w:rPr>
        <w:t xml:space="preserve"> </w:t>
      </w:r>
      <w:r w:rsidRPr="00054DEE">
        <w:rPr>
          <w:lang w:val="ro-RO"/>
        </w:rPr>
        <w:t>2012,</w:t>
      </w:r>
      <w:r>
        <w:rPr>
          <w:lang w:val="ro-RO"/>
        </w:rPr>
        <w:t xml:space="preserve"> cu referinţele citate</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56</w:t>
      </w:r>
      <w:r w:rsidRPr="00054DEE">
        <w:rPr>
          <w:lang w:val="ro-RO"/>
        </w:rPr>
        <w:fldChar w:fldCharType="end"/>
      </w:r>
      <w:r w:rsidRPr="00054DEE">
        <w:rPr>
          <w:lang w:val="ro-RO"/>
        </w:rPr>
        <w:t>.</w:t>
      </w:r>
      <w:r>
        <w:rPr>
          <w:lang w:val="ro-RO"/>
        </w:rPr>
        <w:t xml:space="preserve"> În cazul de faţă</w:t>
      </w:r>
      <w:r w:rsidRPr="00054DEE">
        <w:rPr>
          <w:lang w:val="ro-RO"/>
        </w:rPr>
        <w:t>,</w:t>
      </w:r>
      <w:r>
        <w:rPr>
          <w:lang w:val="ro-RO"/>
        </w:rPr>
        <w:t xml:space="preserve"> Curtea notează că incidentul de procedură care vizează ridicarea secretului profesional pe care reclamanta avea obligaţia să-l păstreze în calitatea sa de avocată a fost ridicat de ministerul </w:t>
      </w:r>
      <w:r w:rsidRPr="00054DEE">
        <w:rPr>
          <w:lang w:val="ro-RO"/>
        </w:rPr>
        <w:t>public</w:t>
      </w:r>
      <w:r>
        <w:rPr>
          <w:lang w:val="ro-RO"/>
        </w:rPr>
        <w:t xml:space="preserve"> ca urmare a refuzului reclamantei de a prezenta extrasele conturilor sale bancare în cadrul unei proceduri penale care fusese deschisă împotriva ei de către şeful antifraudă fiscală</w:t>
      </w:r>
      <w:r w:rsidRPr="00054DEE">
        <w:rPr>
          <w:lang w:val="ro-RO"/>
        </w:rPr>
        <w:t>.</w:t>
      </w:r>
      <w:r>
        <w:rPr>
          <w:lang w:val="ro-RO"/>
        </w:rPr>
        <w:t xml:space="preserve"> Ea constată că această procedură s-a derulat</w:t>
      </w:r>
      <w:r w:rsidRPr="00054DEE">
        <w:rPr>
          <w:lang w:val="ro-RO"/>
        </w:rPr>
        <w:t>,</w:t>
      </w:r>
      <w:r>
        <w:rPr>
          <w:lang w:val="ro-RO"/>
        </w:rPr>
        <w:t xml:space="preserve"> bineînţeles în faţa unui organ judiciar</w:t>
      </w:r>
      <w:r w:rsidRPr="00054DEE">
        <w:rPr>
          <w:lang w:val="ro-RO"/>
        </w:rPr>
        <w:t>,</w:t>
      </w:r>
      <w:r>
        <w:rPr>
          <w:lang w:val="ro-RO"/>
        </w:rPr>
        <w:t xml:space="preserve"> dar fără ca reclamanta să participe la aceasta</w:t>
      </w:r>
      <w:r w:rsidRPr="00054DEE">
        <w:rPr>
          <w:lang w:val="ro-RO"/>
        </w:rPr>
        <w:t>.</w:t>
      </w:r>
      <w:r>
        <w:rPr>
          <w:lang w:val="ro-RO"/>
        </w:rPr>
        <w:t xml:space="preserve"> De fapt, ea nu a luat cunoştinţă de ridicarea secretului profesional şi </w:t>
      </w:r>
      <w:r>
        <w:rPr>
          <w:lang w:val="ro-RO"/>
        </w:rPr>
        <w:lastRenderedPageBreak/>
        <w:t xml:space="preserve">a secretului bancar legat de extrasele conturilor sale bancare doar în momentul în care a primit notificarea deciziei curţii de apel din </w:t>
      </w:r>
      <w:r w:rsidRPr="00054DEE">
        <w:rPr>
          <w:lang w:val="ro-RO"/>
        </w:rPr>
        <w:t>Évora</w:t>
      </w:r>
      <w:r>
        <w:rPr>
          <w:lang w:val="ro-RO"/>
        </w:rPr>
        <w:t xml:space="preserve"> </w:t>
      </w:r>
      <w:r w:rsidRPr="00054DEE">
        <w:rPr>
          <w:lang w:val="ro-RO"/>
        </w:rPr>
        <w:t>d</w:t>
      </w:r>
      <w:r>
        <w:rPr>
          <w:lang w:val="ro-RO"/>
        </w:rPr>
        <w:t xml:space="preserve">in data de </w:t>
      </w:r>
      <w:r w:rsidRPr="00054DEE">
        <w:rPr>
          <w:lang w:val="ro-RO"/>
        </w:rPr>
        <w:t>12</w:t>
      </w:r>
      <w:r>
        <w:rPr>
          <w:lang w:val="ro-RO"/>
        </w:rPr>
        <w:t xml:space="preserve"> ianuarie </w:t>
      </w:r>
      <w:r w:rsidRPr="00054DEE">
        <w:rPr>
          <w:lang w:val="ro-RO"/>
        </w:rPr>
        <w:t>2010.</w:t>
      </w:r>
      <w:r>
        <w:rPr>
          <w:lang w:val="ro-RO"/>
        </w:rPr>
        <w:t xml:space="preserve"> Aşadar, reclamanta nu a intervenit în niciun moment în cursul acestei proceduri</w:t>
      </w:r>
      <w:r w:rsidRPr="00054DEE">
        <w:rPr>
          <w:lang w:val="ro-RO"/>
        </w:rPr>
        <w:t>.</w:t>
      </w:r>
      <w:r>
        <w:rPr>
          <w:lang w:val="ro-RO"/>
        </w:rPr>
        <w:t xml:space="preserve"> În consecinţă, ea nu a putut să-şi prezinte argumentele</w:t>
      </w:r>
      <w:r w:rsidRPr="00054DEE">
        <w:rPr>
          <w:lang w:val="ro-RO"/>
        </w:rPr>
        <w:t>.</w:t>
      </w:r>
      <w:r>
        <w:rPr>
          <w:lang w:val="ro-RO"/>
        </w:rPr>
        <w:t xml:space="preserve"> În plus, ea nu a putut răspunde nici la cererea ministerului </w:t>
      </w:r>
      <w:r w:rsidRPr="00054DEE">
        <w:rPr>
          <w:lang w:val="ro-RO"/>
        </w:rPr>
        <w:t>public</w:t>
      </w:r>
      <w:r>
        <w:rPr>
          <w:lang w:val="ro-RO"/>
        </w:rPr>
        <w:t xml:space="preserve"> </w:t>
      </w:r>
      <w:r w:rsidRPr="00054DEE">
        <w:rPr>
          <w:lang w:val="ro-RO"/>
        </w:rPr>
        <w:t>d</w:t>
      </w:r>
      <w:r>
        <w:rPr>
          <w:lang w:val="ro-RO"/>
        </w:rPr>
        <w:t xml:space="preserve">in data de </w:t>
      </w:r>
      <w:r w:rsidRPr="00054DEE">
        <w:rPr>
          <w:lang w:val="ro-RO"/>
        </w:rPr>
        <w:t>30</w:t>
      </w:r>
      <w:r>
        <w:rPr>
          <w:lang w:val="ro-RO"/>
        </w:rPr>
        <w:t xml:space="preserve"> octombrie </w:t>
      </w:r>
      <w:r w:rsidRPr="00054DEE">
        <w:rPr>
          <w:lang w:val="ro-RO"/>
        </w:rPr>
        <w:t>2009</w:t>
      </w:r>
      <w:r>
        <w:rPr>
          <w:lang w:val="ro-RO"/>
        </w:rPr>
        <w:t xml:space="preserve"> adresată judecătorului de instrucţie penală </w:t>
      </w:r>
      <w:r w:rsidRPr="00054DEE">
        <w:rPr>
          <w:lang w:val="ro-RO"/>
        </w:rPr>
        <w:t>(</w:t>
      </w:r>
      <w:r>
        <w:rPr>
          <w:lang w:val="ro-RO"/>
        </w:rPr>
        <w:t xml:space="preserve">a se vedea mai sus paragraful </w:t>
      </w:r>
      <w:r w:rsidRPr="00054DEE">
        <w:rPr>
          <w:lang w:val="ro-RO"/>
        </w:rPr>
        <w:t>9),</w:t>
      </w:r>
      <w:r>
        <w:rPr>
          <w:lang w:val="ro-RO"/>
        </w:rPr>
        <w:t xml:space="preserve"> nici avizului din data de </w:t>
      </w:r>
      <w:r w:rsidRPr="00054DEE">
        <w:rPr>
          <w:lang w:val="ro-RO"/>
        </w:rPr>
        <w:t>30</w:t>
      </w:r>
      <w:r>
        <w:rPr>
          <w:lang w:val="ro-RO"/>
        </w:rPr>
        <w:t xml:space="preserve"> noiembrie </w:t>
      </w:r>
      <w:r w:rsidRPr="00054DEE">
        <w:rPr>
          <w:lang w:val="ro-RO"/>
        </w:rPr>
        <w:t>2009</w:t>
      </w:r>
      <w:r>
        <w:rPr>
          <w:lang w:val="ro-RO"/>
        </w:rPr>
        <w:t xml:space="preserve"> al procuroarei adjuncte de pe lângă curtea de apel din </w:t>
      </w:r>
      <w:r w:rsidRPr="00054DEE">
        <w:rPr>
          <w:lang w:val="ro-RO"/>
        </w:rPr>
        <w:t>Évora</w:t>
      </w:r>
      <w:r>
        <w:rPr>
          <w:lang w:val="ro-RO"/>
        </w:rPr>
        <w:t xml:space="preserve"> </w:t>
      </w:r>
      <w:r w:rsidRPr="00054DEE">
        <w:rPr>
          <w:lang w:val="ro-RO"/>
        </w:rPr>
        <w:t>(</w:t>
      </w:r>
      <w:r>
        <w:rPr>
          <w:lang w:val="ro-RO"/>
        </w:rPr>
        <w:t xml:space="preserve">a se vedea mai sus paragraful </w:t>
      </w:r>
      <w:r w:rsidRPr="00054DEE">
        <w:rPr>
          <w:lang w:val="ro-RO"/>
        </w:rPr>
        <w:t>11).</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57</w:t>
      </w:r>
      <w:r w:rsidRPr="00054DEE">
        <w:rPr>
          <w:lang w:val="ro-RO"/>
        </w:rPr>
        <w:fldChar w:fldCharType="end"/>
      </w:r>
      <w:r w:rsidRPr="00054DEE">
        <w:rPr>
          <w:lang w:val="ro-RO"/>
        </w:rPr>
        <w:t>.</w:t>
      </w:r>
      <w:r>
        <w:rPr>
          <w:lang w:val="ro-RO"/>
        </w:rPr>
        <w:t xml:space="preserve"> Curtea observă apoi că articolul </w:t>
      </w:r>
      <w:r w:rsidRPr="00054DEE">
        <w:rPr>
          <w:lang w:val="ro-RO"/>
        </w:rPr>
        <w:t>135</w:t>
      </w:r>
      <w:r>
        <w:rPr>
          <w:lang w:val="ro-RO"/>
        </w:rPr>
        <w:t xml:space="preserve"> </w:t>
      </w:r>
      <w:r w:rsidRPr="00054DEE">
        <w:rPr>
          <w:lang w:val="ro-RO"/>
        </w:rPr>
        <w:t>§</w:t>
      </w:r>
      <w:r>
        <w:rPr>
          <w:lang w:val="ro-RO"/>
        </w:rPr>
        <w:t xml:space="preserve"> </w:t>
      </w:r>
      <w:r w:rsidRPr="00054DEE">
        <w:rPr>
          <w:lang w:val="ro-RO"/>
        </w:rPr>
        <w:t>4</w:t>
      </w:r>
      <w:r>
        <w:rPr>
          <w:lang w:val="ro-RO"/>
        </w:rPr>
        <w:t xml:space="preserve"> din CPP şi articolul </w:t>
      </w:r>
      <w:r w:rsidRPr="00054DEE">
        <w:rPr>
          <w:lang w:val="ro-RO"/>
        </w:rPr>
        <w:t>87</w:t>
      </w:r>
      <w:r>
        <w:rPr>
          <w:lang w:val="ro-RO"/>
        </w:rPr>
        <w:t xml:space="preserve"> </w:t>
      </w:r>
      <w:r w:rsidRPr="00054DEE">
        <w:rPr>
          <w:lang w:val="ro-RO"/>
        </w:rPr>
        <w:t>§</w:t>
      </w:r>
      <w:r>
        <w:rPr>
          <w:lang w:val="ro-RO"/>
        </w:rPr>
        <w:t xml:space="preserve"> </w:t>
      </w:r>
      <w:r w:rsidRPr="00054DEE">
        <w:rPr>
          <w:lang w:val="ro-RO"/>
        </w:rPr>
        <w:t>4</w:t>
      </w:r>
      <w:r>
        <w:rPr>
          <w:lang w:val="ro-RO"/>
        </w:rPr>
        <w:t xml:space="preserve"> din statutul Baroului </w:t>
      </w:r>
      <w:r w:rsidRPr="00054DEE">
        <w:rPr>
          <w:lang w:val="ro-RO"/>
        </w:rPr>
        <w:t>(</w:t>
      </w:r>
      <w:r>
        <w:rPr>
          <w:lang w:val="ro-RO"/>
        </w:rPr>
        <w:t xml:space="preserve">a se vedea mai sus paragrafele </w:t>
      </w:r>
      <w:r w:rsidRPr="00054DEE">
        <w:rPr>
          <w:lang w:val="ro-RO"/>
        </w:rPr>
        <w:t>18</w:t>
      </w:r>
      <w:r>
        <w:rPr>
          <w:lang w:val="ro-RO"/>
        </w:rPr>
        <w:t xml:space="preserve"> şi </w:t>
      </w:r>
      <w:r w:rsidRPr="00054DEE">
        <w:rPr>
          <w:lang w:val="ro-RO"/>
        </w:rPr>
        <w:t>21)</w:t>
      </w:r>
      <w:r>
        <w:rPr>
          <w:lang w:val="ro-RO"/>
        </w:rPr>
        <w:t xml:space="preserve"> prevăd consultarea Baroului în cadrul procedurii care vizează ridicarea secretului profesional</w:t>
      </w:r>
      <w:r w:rsidRPr="00054DEE">
        <w:rPr>
          <w:lang w:val="ro-RO"/>
        </w:rPr>
        <w:t>.</w:t>
      </w:r>
      <w:r>
        <w:rPr>
          <w:lang w:val="ro-RO"/>
        </w:rPr>
        <w:t xml:space="preserve"> Totuşi, în acest caz, trebuie constatat că Asociaţia Barourilor nu a fost solicitată</w:t>
      </w:r>
      <w:r w:rsidRPr="00054DEE">
        <w:rPr>
          <w:lang w:val="ro-RO"/>
        </w:rPr>
        <w:t>.</w:t>
      </w:r>
      <w:r>
        <w:rPr>
          <w:lang w:val="ro-RO"/>
        </w:rPr>
        <w:t xml:space="preserve"> Curtea estimează că respingerea cererii formulate de reclamantă la Consiliul Baroului din districtul </w:t>
      </w:r>
      <w:r w:rsidRPr="00054DEE">
        <w:rPr>
          <w:lang w:val="ro-RO"/>
        </w:rPr>
        <w:t>Faro</w:t>
      </w:r>
      <w:r>
        <w:rPr>
          <w:lang w:val="ro-RO"/>
        </w:rPr>
        <w:t xml:space="preserve"> este lipsită de importanţă </w:t>
      </w:r>
      <w:r w:rsidRPr="00054DEE">
        <w:rPr>
          <w:lang w:val="ro-RO"/>
        </w:rPr>
        <w:t>(</w:t>
      </w:r>
      <w:r>
        <w:rPr>
          <w:lang w:val="ro-RO"/>
        </w:rPr>
        <w:t>a se vedea paragraful 14 de mai sus</w:t>
      </w:r>
      <w:r w:rsidRPr="00054DEE">
        <w:rPr>
          <w:lang w:val="ro-RO"/>
        </w:rPr>
        <w:t>),</w:t>
      </w:r>
      <w:r>
        <w:rPr>
          <w:lang w:val="ro-RO"/>
        </w:rPr>
        <w:t xml:space="preserve"> legea internă prevăzând ca consultarea să fie solicitată din oficiu de judecătorul însărcinat cu procedura</w:t>
      </w:r>
      <w:r w:rsidRPr="00054DEE">
        <w:rPr>
          <w:lang w:val="ro-RO"/>
        </w:rPr>
        <w:t>.</w:t>
      </w:r>
      <w:r>
        <w:rPr>
          <w:lang w:val="ro-RO"/>
        </w:rPr>
        <w:t xml:space="preserve"> Chiar dacă</w:t>
      </w:r>
      <w:r w:rsidRPr="00054DEE">
        <w:rPr>
          <w:lang w:val="ro-RO"/>
        </w:rPr>
        <w:t>,</w:t>
      </w:r>
      <w:r>
        <w:rPr>
          <w:lang w:val="ro-RO"/>
        </w:rPr>
        <w:t xml:space="preserve"> în ceea ce priveşte jurisprudenţa internă, un aviz al Baroului n-ar fi avut un efect obligatoriu </w:t>
      </w:r>
      <w:r w:rsidRPr="00054DEE">
        <w:rPr>
          <w:lang w:val="ro-RO"/>
        </w:rPr>
        <w:t>(</w:t>
      </w:r>
      <w:r>
        <w:rPr>
          <w:lang w:val="ro-RO"/>
        </w:rPr>
        <w:t xml:space="preserve">cu titlu de exemplu, a se vedea hotărârea Curţii Supreme din data de 21 aprilie </w:t>
      </w:r>
      <w:r w:rsidRPr="00054DEE">
        <w:rPr>
          <w:lang w:val="ro-RO"/>
        </w:rPr>
        <w:t>2005</w:t>
      </w:r>
      <w:r>
        <w:rPr>
          <w:lang w:val="ro-RO"/>
        </w:rPr>
        <w:t xml:space="preserve"> şi a curţii de apel de la Lisabona din </w:t>
      </w:r>
      <w:r w:rsidRPr="00054DEE">
        <w:rPr>
          <w:lang w:val="ro-RO"/>
        </w:rPr>
        <w:t>29</w:t>
      </w:r>
      <w:r>
        <w:rPr>
          <w:lang w:val="ro-RO"/>
        </w:rPr>
        <w:t xml:space="preserve"> septembrie </w:t>
      </w:r>
      <w:r w:rsidRPr="00054DEE">
        <w:rPr>
          <w:lang w:val="ro-RO"/>
        </w:rPr>
        <w:t>2008,</w:t>
      </w:r>
      <w:r>
        <w:rPr>
          <w:lang w:val="ro-RO"/>
        </w:rPr>
        <w:t xml:space="preserve"> citate mai sus în paragrafele </w:t>
      </w:r>
      <w:r w:rsidRPr="00054DEE">
        <w:rPr>
          <w:lang w:val="ro-RO"/>
        </w:rPr>
        <w:t>25</w:t>
      </w:r>
      <w:r>
        <w:rPr>
          <w:lang w:val="ro-RO"/>
        </w:rPr>
        <w:t xml:space="preserve"> şi </w:t>
      </w:r>
      <w:r w:rsidRPr="00054DEE">
        <w:rPr>
          <w:lang w:val="ro-RO"/>
        </w:rPr>
        <w:t>31),</w:t>
      </w:r>
      <w:r>
        <w:rPr>
          <w:lang w:val="ro-RO"/>
        </w:rPr>
        <w:t xml:space="preserve"> Curtea estimează că intervenţia unui organism independent era necesară în acest caz având în vedere că informaţiile solicitate erau acoperite de secretul profesional</w:t>
      </w:r>
      <w:r w:rsidRPr="00054DEE">
        <w:rPr>
          <w:lang w:val="ro-RO"/>
        </w:rPr>
        <w:t>.</w:t>
      </w:r>
      <w:r>
        <w:rPr>
          <w:lang w:val="ro-RO"/>
        </w:rPr>
        <w:t xml:space="preserve"> În această privinţă</w:t>
      </w:r>
      <w:r w:rsidRPr="00054DEE">
        <w:rPr>
          <w:lang w:val="ro-RO"/>
        </w:rPr>
        <w:t>,</w:t>
      </w:r>
      <w:r>
        <w:rPr>
          <w:lang w:val="ro-RO"/>
        </w:rPr>
        <w:t xml:space="preserve"> ea trimite la jurisprudenţa sa privind percheziţiile în cabinetele de avocatură </w:t>
      </w:r>
      <w:r w:rsidRPr="00054DEE">
        <w:rPr>
          <w:lang w:val="ro-RO"/>
        </w:rPr>
        <w:t>(</w:t>
      </w:r>
      <w:r>
        <w:rPr>
          <w:lang w:val="ro-RO"/>
        </w:rPr>
        <w:t>a se vedea, printre altele</w:t>
      </w:r>
      <w:r w:rsidRPr="00054DEE">
        <w:rPr>
          <w:b/>
          <w:lang w:val="ro-RO"/>
        </w:rPr>
        <w:t>,</w:t>
      </w:r>
      <w:r>
        <w:rPr>
          <w:b/>
          <w:lang w:val="ro-RO"/>
        </w:rPr>
        <w:t xml:space="preserve"> </w:t>
      </w:r>
      <w:r w:rsidRPr="00054DEE">
        <w:rPr>
          <w:i/>
          <w:lang w:val="ro-RO"/>
        </w:rPr>
        <w:t>mutatis</w:t>
      </w:r>
      <w:r>
        <w:rPr>
          <w:i/>
          <w:lang w:val="ro-RO"/>
        </w:rPr>
        <w:t xml:space="preserve"> </w:t>
      </w:r>
      <w:r w:rsidRPr="00054DEE">
        <w:rPr>
          <w:i/>
          <w:lang w:val="ro-RO"/>
        </w:rPr>
        <w:t>mutandis,</w:t>
      </w:r>
      <w:r>
        <w:rPr>
          <w:i/>
          <w:lang w:val="ro-RO"/>
        </w:rPr>
        <w:t xml:space="preserve"> </w:t>
      </w:r>
      <w:r w:rsidRPr="00054DEE">
        <w:rPr>
          <w:i/>
          <w:lang w:val="ro-RO"/>
        </w:rPr>
        <w:t>Niemietz</w:t>
      </w:r>
      <w:r w:rsidRPr="00054DEE">
        <w:rPr>
          <w:lang w:val="ro-RO"/>
        </w:rPr>
        <w:t>,</w:t>
      </w:r>
      <w:r>
        <w:rPr>
          <w:lang w:val="ro-RO"/>
        </w:rPr>
        <w:t xml:space="preserve"> citat anterior</w:t>
      </w:r>
      <w:r w:rsidRPr="00054DEE">
        <w:rPr>
          <w:lang w:val="ro-RO"/>
        </w:rPr>
        <w:t>,</w:t>
      </w:r>
      <w:r>
        <w:rPr>
          <w:lang w:val="ro-RO"/>
        </w:rPr>
        <w:t xml:space="preserve"> </w:t>
      </w:r>
      <w:r w:rsidRPr="00054DEE">
        <w:rPr>
          <w:lang w:val="ro-RO"/>
        </w:rPr>
        <w:t>§</w:t>
      </w:r>
      <w:r>
        <w:rPr>
          <w:lang w:val="ro-RO"/>
        </w:rPr>
        <w:t xml:space="preserve"> </w:t>
      </w:r>
      <w:r w:rsidRPr="00054DEE">
        <w:rPr>
          <w:lang w:val="ro-RO"/>
        </w:rPr>
        <w:t>37,</w:t>
      </w:r>
      <w:r>
        <w:rPr>
          <w:lang w:val="ro-RO"/>
        </w:rPr>
        <w:t xml:space="preserve"> </w:t>
      </w:r>
      <w:r w:rsidRPr="00054DEE">
        <w:rPr>
          <w:i/>
          <w:lang w:val="ro-RO"/>
        </w:rPr>
        <w:t>Tamosius</w:t>
      </w:r>
      <w:r>
        <w:rPr>
          <w:i/>
          <w:lang w:val="ro-RO"/>
        </w:rPr>
        <w:t xml:space="preserve"> </w:t>
      </w:r>
      <w:r w:rsidRPr="00054DEE">
        <w:rPr>
          <w:i/>
          <w:lang w:val="ro-RO"/>
        </w:rPr>
        <w:t>c.</w:t>
      </w:r>
      <w:r>
        <w:rPr>
          <w:i/>
          <w:lang w:val="ro-RO"/>
        </w:rPr>
        <w:t xml:space="preserve"> </w:t>
      </w:r>
      <w:r w:rsidRPr="00054DEE">
        <w:rPr>
          <w:i/>
          <w:lang w:val="ro-RO"/>
        </w:rPr>
        <w:t>Royaume-Uni</w:t>
      </w:r>
      <w:r>
        <w:rPr>
          <w:lang w:val="ro-RO"/>
        </w:rPr>
        <w:t xml:space="preserve"> </w:t>
      </w:r>
      <w:r w:rsidRPr="00054DEE">
        <w:rPr>
          <w:lang w:val="ro-RO"/>
        </w:rPr>
        <w:t>(déc.),</w:t>
      </w:r>
      <w:r>
        <w:rPr>
          <w:lang w:val="ro-RO"/>
        </w:rPr>
        <w:t xml:space="preserve"> nr. </w:t>
      </w:r>
      <w:r w:rsidRPr="00054DEE">
        <w:rPr>
          <w:lang w:val="ro-RO"/>
        </w:rPr>
        <w:t>62002/00,</w:t>
      </w:r>
      <w:r>
        <w:rPr>
          <w:lang w:val="ro-RO"/>
        </w:rPr>
        <w:t xml:space="preserve"> </w:t>
      </w:r>
      <w:r w:rsidRPr="00054DEE">
        <w:rPr>
          <w:lang w:val="ro-RO"/>
        </w:rPr>
        <w:t>CEDH</w:t>
      </w:r>
      <w:r>
        <w:rPr>
          <w:lang w:val="ro-RO"/>
        </w:rPr>
        <w:t xml:space="preserve"> </w:t>
      </w:r>
      <w:r w:rsidRPr="00054DEE">
        <w:rPr>
          <w:lang w:val="ro-RO"/>
        </w:rPr>
        <w:t>2002-VIII</w:t>
      </w:r>
      <w:r>
        <w:rPr>
          <w:lang w:val="ro-RO"/>
        </w:rPr>
        <w:t xml:space="preserve"> şi </w:t>
      </w:r>
      <w:r w:rsidRPr="00054DEE">
        <w:rPr>
          <w:i/>
          <w:lang w:val="ro-RO"/>
        </w:rPr>
        <w:t>Xavier</w:t>
      </w:r>
      <w:r>
        <w:rPr>
          <w:i/>
          <w:lang w:val="ro-RO"/>
        </w:rPr>
        <w:t xml:space="preserve"> </w:t>
      </w:r>
      <w:r w:rsidRPr="00054DEE">
        <w:rPr>
          <w:i/>
          <w:lang w:val="ro-RO"/>
        </w:rPr>
        <w:t>da</w:t>
      </w:r>
      <w:r>
        <w:rPr>
          <w:i/>
          <w:lang w:val="ro-RO"/>
        </w:rPr>
        <w:t xml:space="preserve"> </w:t>
      </w:r>
      <w:r w:rsidRPr="00054DEE">
        <w:rPr>
          <w:i/>
          <w:lang w:val="ro-RO"/>
        </w:rPr>
        <w:t>Silveira</w:t>
      </w:r>
      <w:r w:rsidRPr="00054DEE">
        <w:rPr>
          <w:lang w:val="ro-RO"/>
        </w:rPr>
        <w:t>,</w:t>
      </w:r>
      <w:r>
        <w:rPr>
          <w:lang w:val="ro-RO"/>
        </w:rPr>
        <w:t xml:space="preserve"> citat anterior</w:t>
      </w:r>
      <w:r w:rsidRPr="00054DEE">
        <w:rPr>
          <w:lang w:val="ro-RO"/>
        </w:rPr>
        <w:t>,</w:t>
      </w:r>
      <w:r>
        <w:rPr>
          <w:lang w:val="ro-RO"/>
        </w:rPr>
        <w:t xml:space="preserve"> </w:t>
      </w:r>
      <w:r w:rsidRPr="00054DEE">
        <w:rPr>
          <w:lang w:val="ro-RO"/>
        </w:rPr>
        <w:t>§</w:t>
      </w:r>
      <w:r>
        <w:rPr>
          <w:lang w:val="ro-RO"/>
        </w:rPr>
        <w:t xml:space="preserve"> </w:t>
      </w:r>
      <w:r w:rsidRPr="00054DEE">
        <w:rPr>
          <w:lang w:val="ro-RO"/>
        </w:rPr>
        <w:t>40).</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58</w:t>
      </w:r>
      <w:r w:rsidRPr="00054DEE">
        <w:rPr>
          <w:lang w:val="ro-RO"/>
        </w:rPr>
        <w:fldChar w:fldCharType="end"/>
      </w:r>
      <w:r w:rsidRPr="00054DEE">
        <w:rPr>
          <w:lang w:val="ro-RO"/>
        </w:rPr>
        <w:t>.</w:t>
      </w:r>
      <w:r>
        <w:rPr>
          <w:lang w:val="ro-RO"/>
        </w:rPr>
        <w:t xml:space="preserve"> În ceea ce priveşte „controlul eficace” pentru contestarea măsurii litigioase, Curtea notează că recursul făcut de reclamantă la Curtea Supremă pentru a contesta decizia curţii de apel n-a făcut obiectul unei examinări în ceea ce priveşte fondul</w:t>
      </w:r>
      <w:r w:rsidRPr="00054DEE">
        <w:rPr>
          <w:lang w:val="ro-RO"/>
        </w:rPr>
        <w:t>,</w:t>
      </w:r>
      <w:r>
        <w:rPr>
          <w:lang w:val="ro-RO"/>
        </w:rPr>
        <w:t xml:space="preserve"> înalta instanţă considerând că reclamanta nu dispunea de posibilitatea de a face apel împotriva hotărârii curţii de apel de la Évora din data de </w:t>
      </w:r>
      <w:r w:rsidRPr="00054DEE">
        <w:rPr>
          <w:lang w:val="ro-RO"/>
        </w:rPr>
        <w:t>12</w:t>
      </w:r>
      <w:r>
        <w:rPr>
          <w:lang w:val="ro-RO"/>
        </w:rPr>
        <w:t xml:space="preserve"> iunie </w:t>
      </w:r>
      <w:r w:rsidRPr="00054DEE">
        <w:rPr>
          <w:lang w:val="ro-RO"/>
        </w:rPr>
        <w:t>2010</w:t>
      </w:r>
      <w:r>
        <w:rPr>
          <w:lang w:val="ro-RO"/>
        </w:rPr>
        <w:t xml:space="preserve"> în aplicarea articolelor </w:t>
      </w:r>
      <w:r w:rsidRPr="00054DEE">
        <w:rPr>
          <w:lang w:val="ro-RO"/>
        </w:rPr>
        <w:t>432</w:t>
      </w:r>
      <w:r>
        <w:rPr>
          <w:lang w:val="ro-RO"/>
        </w:rPr>
        <w:t xml:space="preserve"> şi </w:t>
      </w:r>
      <w:r w:rsidRPr="00054DEE">
        <w:rPr>
          <w:lang w:val="ro-RO"/>
        </w:rPr>
        <w:t>400</w:t>
      </w:r>
      <w:r>
        <w:rPr>
          <w:lang w:val="ro-RO"/>
        </w:rPr>
        <w:t xml:space="preserve"> </w:t>
      </w:r>
      <w:r w:rsidRPr="00054DEE">
        <w:rPr>
          <w:lang w:val="ro-RO"/>
        </w:rPr>
        <w:t>§</w:t>
      </w:r>
      <w:r>
        <w:rPr>
          <w:lang w:val="ro-RO"/>
        </w:rPr>
        <w:t xml:space="preserve"> </w:t>
      </w:r>
      <w:r w:rsidRPr="00054DEE">
        <w:rPr>
          <w:lang w:val="ro-RO"/>
        </w:rPr>
        <w:t>1</w:t>
      </w:r>
      <w:r>
        <w:rPr>
          <w:lang w:val="ro-RO"/>
        </w:rPr>
        <w:t xml:space="preserve"> </w:t>
      </w:r>
      <w:r w:rsidRPr="00054DEE">
        <w:rPr>
          <w:lang w:val="ro-RO"/>
        </w:rPr>
        <w:t>c)</w:t>
      </w:r>
      <w:r>
        <w:rPr>
          <w:lang w:val="ro-RO"/>
        </w:rPr>
        <w:t xml:space="preserve"> din CPP</w:t>
      </w:r>
      <w:r w:rsidRPr="00054DEE">
        <w:rPr>
          <w:lang w:val="ro-RO"/>
        </w:rPr>
        <w:t>.</w:t>
      </w:r>
      <w:r>
        <w:rPr>
          <w:lang w:val="ro-RO"/>
        </w:rPr>
        <w:t xml:space="preserve"> Guvernul susţine această interpretare şi </w:t>
      </w:r>
      <w:r w:rsidRPr="00054DEE">
        <w:rPr>
          <w:lang w:val="ro-RO"/>
        </w:rPr>
        <w:t>se</w:t>
      </w:r>
      <w:r>
        <w:rPr>
          <w:lang w:val="ro-RO"/>
        </w:rPr>
        <w:t xml:space="preserve"> referă la o altă hotărâre a Curţii Supreme care o confirmă</w:t>
      </w:r>
      <w:r w:rsidRPr="00054DEE">
        <w:rPr>
          <w:lang w:val="ro-RO"/>
        </w:rPr>
        <w:t>.</w:t>
      </w:r>
      <w:r>
        <w:rPr>
          <w:lang w:val="ro-RO"/>
        </w:rPr>
        <w:t xml:space="preserve"> Curtea reaminteşte că nu are sarcina să se substituie jurisdicţiilor interne deoarece este de datoria primului şef al autorităţilor naţionale</w:t>
      </w:r>
      <w:r w:rsidRPr="00054DEE">
        <w:rPr>
          <w:lang w:val="ro-RO"/>
        </w:rPr>
        <w:t>,</w:t>
      </w:r>
      <w:r>
        <w:rPr>
          <w:lang w:val="ro-RO"/>
        </w:rPr>
        <w:t xml:space="preserve"> în special al curţilor şi tribunalelor, să interpreteze legislaţia internă </w:t>
      </w:r>
      <w:r w:rsidRPr="00054DEE">
        <w:rPr>
          <w:lang w:val="ro-RO"/>
        </w:rPr>
        <w:t>(</w:t>
      </w:r>
      <w:r w:rsidRPr="00054DEE">
        <w:rPr>
          <w:i/>
          <w:lang w:val="ro-RO"/>
        </w:rPr>
        <w:t>Waite</w:t>
      </w:r>
      <w:r>
        <w:rPr>
          <w:i/>
          <w:lang w:val="ro-RO"/>
        </w:rPr>
        <w:t xml:space="preserve"> şi </w:t>
      </w:r>
      <w:r w:rsidRPr="00054DEE">
        <w:rPr>
          <w:i/>
          <w:lang w:val="ro-RO"/>
        </w:rPr>
        <w:t>Kennedy</w:t>
      </w:r>
      <w:r>
        <w:rPr>
          <w:i/>
          <w:lang w:val="ro-RO"/>
        </w:rPr>
        <w:t xml:space="preserve"> </w:t>
      </w:r>
      <w:r w:rsidRPr="00054DEE">
        <w:rPr>
          <w:i/>
          <w:lang w:val="ro-RO"/>
        </w:rPr>
        <w:t>c.</w:t>
      </w:r>
      <w:r>
        <w:rPr>
          <w:i/>
          <w:lang w:val="ro-RO"/>
        </w:rPr>
        <w:t xml:space="preserve"> </w:t>
      </w:r>
      <w:r w:rsidRPr="00054DEE">
        <w:rPr>
          <w:i/>
          <w:lang w:val="ro-RO"/>
        </w:rPr>
        <w:t>Allemagne</w:t>
      </w:r>
      <w:r>
        <w:rPr>
          <w:lang w:val="ro-RO"/>
        </w:rPr>
        <w:t xml:space="preserve"> </w:t>
      </w:r>
      <w:r w:rsidRPr="00054DEE">
        <w:rPr>
          <w:lang w:val="ro-RO"/>
        </w:rPr>
        <w:t>[GC],</w:t>
      </w:r>
      <w:r>
        <w:rPr>
          <w:lang w:val="ro-RO"/>
        </w:rPr>
        <w:t xml:space="preserve"> </w:t>
      </w:r>
      <w:r w:rsidRPr="00054DEE">
        <w:rPr>
          <w:lang w:val="ro-RO"/>
        </w:rPr>
        <w:t>n</w:t>
      </w:r>
      <w:r w:rsidRPr="00054DEE">
        <w:rPr>
          <w:vertAlign w:val="superscript"/>
          <w:lang w:val="ro-RO"/>
        </w:rPr>
        <w:t>o</w:t>
      </w:r>
      <w:r>
        <w:rPr>
          <w:lang w:val="ro-RO"/>
        </w:rPr>
        <w:t xml:space="preserve"> </w:t>
      </w:r>
      <w:r w:rsidRPr="00054DEE">
        <w:rPr>
          <w:lang w:val="ro-RO"/>
        </w:rPr>
        <w:t>26083/94,</w:t>
      </w:r>
      <w:r>
        <w:rPr>
          <w:lang w:val="ro-RO"/>
        </w:rPr>
        <w:t xml:space="preserve"> </w:t>
      </w:r>
      <w:r w:rsidRPr="00054DEE">
        <w:rPr>
          <w:lang w:val="ro-RO"/>
        </w:rPr>
        <w:t>§</w:t>
      </w:r>
      <w:r>
        <w:rPr>
          <w:lang w:val="ro-RO"/>
        </w:rPr>
        <w:t xml:space="preserve"> </w:t>
      </w:r>
      <w:r w:rsidRPr="00054DEE">
        <w:rPr>
          <w:lang w:val="ro-RO"/>
        </w:rPr>
        <w:t>54,</w:t>
      </w:r>
      <w:r>
        <w:rPr>
          <w:lang w:val="ro-RO"/>
        </w:rPr>
        <w:t xml:space="preserve"> </w:t>
      </w:r>
      <w:r w:rsidRPr="00054DEE">
        <w:rPr>
          <w:lang w:val="ro-RO"/>
        </w:rPr>
        <w:t>CEDH</w:t>
      </w:r>
      <w:r>
        <w:rPr>
          <w:lang w:val="ro-RO"/>
        </w:rPr>
        <w:t xml:space="preserve"> </w:t>
      </w:r>
      <w:r w:rsidRPr="00054DEE">
        <w:rPr>
          <w:lang w:val="ro-RO"/>
        </w:rPr>
        <w:t>1999</w:t>
      </w:r>
      <w:r w:rsidRPr="00054DEE">
        <w:rPr>
          <w:lang w:val="ro-RO"/>
        </w:rPr>
        <w:noBreakHyphen/>
        <w:t>I).</w:t>
      </w:r>
      <w:r>
        <w:rPr>
          <w:lang w:val="ro-RO"/>
        </w:rPr>
        <w:t xml:space="preserve"> Acest lucru nu împiedică curtea să considere că simplul fapt că recursul reclamantei fusese declarat inadmisibil de către Curtea Supremă nu îndeplinea cerinţa unui „control eficace” impusă de articolul </w:t>
      </w:r>
      <w:r w:rsidRPr="00054DEE">
        <w:rPr>
          <w:lang w:val="ro-RO"/>
        </w:rPr>
        <w:t>8</w:t>
      </w:r>
      <w:r>
        <w:rPr>
          <w:lang w:val="ro-RO"/>
        </w:rPr>
        <w:t xml:space="preserve"> din Convenţie</w:t>
      </w:r>
      <w:r w:rsidRPr="00054DEE">
        <w:rPr>
          <w:lang w:val="ro-RO"/>
        </w:rPr>
        <w:t>,</w:t>
      </w:r>
      <w:r>
        <w:rPr>
          <w:lang w:val="ro-RO"/>
        </w:rPr>
        <w:t xml:space="preserve"> reclamanta n-a dispus aşadar de niciun recurs pentru a contesta măsura litigioasă</w:t>
      </w:r>
      <w:r w:rsidRPr="00054DEE">
        <w:rPr>
          <w:lang w:val="ro-RO"/>
        </w:rPr>
        <w:t>.</w:t>
      </w:r>
    </w:p>
    <w:p w:rsidR="00886CFB" w:rsidRPr="00054DEE" w:rsidRDefault="00886CFB" w:rsidP="00906B0E">
      <w:pPr>
        <w:pStyle w:val="ECHRPara"/>
        <w:rPr>
          <w:lang w:val="ro-RO"/>
        </w:rPr>
      </w:pPr>
      <w:r w:rsidRPr="00054DEE">
        <w:rPr>
          <w:lang w:val="ro-RO"/>
        </w:rPr>
        <w:lastRenderedPageBreak/>
        <w:fldChar w:fldCharType="begin"/>
      </w:r>
      <w:r w:rsidRPr="00054DEE">
        <w:rPr>
          <w:lang w:val="ro-RO"/>
        </w:rPr>
        <w:instrText xml:space="preserve"> SEQ level0 \*arabic </w:instrText>
      </w:r>
      <w:r w:rsidRPr="00054DEE">
        <w:rPr>
          <w:lang w:val="ro-RO"/>
        </w:rPr>
        <w:fldChar w:fldCharType="separate"/>
      </w:r>
      <w:r w:rsidR="004C1F7F">
        <w:rPr>
          <w:noProof/>
          <w:lang w:val="ro-RO"/>
        </w:rPr>
        <w:t>59</w:t>
      </w:r>
      <w:r w:rsidRPr="00054DEE">
        <w:rPr>
          <w:lang w:val="ro-RO"/>
        </w:rPr>
        <w:fldChar w:fldCharType="end"/>
      </w:r>
      <w:r w:rsidRPr="00054DEE">
        <w:rPr>
          <w:lang w:val="ro-RO"/>
        </w:rPr>
        <w:t>.</w:t>
      </w:r>
      <w:r>
        <w:rPr>
          <w:lang w:val="ro-RO"/>
        </w:rPr>
        <w:t xml:space="preserve"> În ceea ce priveşte absenţa garanţiilor procedurale şi a unui control jurisdicţional efectiv al măsurii litigioase, Curtea estimează că autorităţile portugheze nu au fost menajate, în cazul de faţă, un echilibru</w:t>
      </w:r>
      <w:r w:rsidRPr="00054DEE">
        <w:rPr>
          <w:lang w:val="ro-RO"/>
        </w:rPr>
        <w:t>,</w:t>
      </w:r>
      <w:r>
        <w:rPr>
          <w:lang w:val="ro-RO"/>
        </w:rPr>
        <w:t xml:space="preserve"> echitabil între imperativele interesului general şi exigenţele privind protecţia dreptului reclamantei în ceea ce priveşte viaţa sa privată</w:t>
      </w:r>
      <w:r w:rsidRPr="00054DEE">
        <w:rPr>
          <w:lang w:val="ro-RO"/>
        </w:rPr>
        <w:t>.</w:t>
      </w:r>
      <w:r>
        <w:rPr>
          <w:lang w:val="ro-RO"/>
        </w:rPr>
        <w:t xml:space="preserve"> Aşadar există o încălcare a articolului </w:t>
      </w:r>
      <w:r w:rsidRPr="00054DEE">
        <w:rPr>
          <w:lang w:val="ro-RO"/>
        </w:rPr>
        <w:t>8</w:t>
      </w:r>
      <w:r>
        <w:rPr>
          <w:lang w:val="ro-RO"/>
        </w:rPr>
        <w:t xml:space="preserve"> din Convenţie</w:t>
      </w:r>
      <w:r w:rsidRPr="00054DEE">
        <w:rPr>
          <w:lang w:val="ro-RO"/>
        </w:rPr>
        <w:t>.</w:t>
      </w:r>
    </w:p>
    <w:p w:rsidR="00886CFB" w:rsidRPr="00054DEE" w:rsidRDefault="00886CFB" w:rsidP="00906B0E">
      <w:pPr>
        <w:pStyle w:val="ECHRHeading1"/>
        <w:rPr>
          <w:lang w:val="ro-RO"/>
        </w:rPr>
      </w:pPr>
      <w:r w:rsidRPr="00054DEE">
        <w:rPr>
          <w:lang w:val="ro-RO"/>
        </w:rPr>
        <w:t>II.</w:t>
      </w:r>
      <w:r>
        <w:rPr>
          <w:lang w:val="ro-RO"/>
        </w:rPr>
        <w:t xml:space="preserve"> ÎN CEEA CE PRIVEŞTE APLICAREA ARTICOLULUI </w:t>
      </w:r>
      <w:r w:rsidRPr="00054DEE">
        <w:rPr>
          <w:lang w:val="ro-RO"/>
        </w:rPr>
        <w:t>41</w:t>
      </w:r>
      <w:r>
        <w:rPr>
          <w:lang w:val="ro-RO"/>
        </w:rPr>
        <w:t xml:space="preserve"> DIN CONVENŢIE</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60</w:t>
      </w:r>
      <w:r w:rsidRPr="00054DEE">
        <w:rPr>
          <w:lang w:val="ro-RO"/>
        </w:rPr>
        <w:fldChar w:fldCharType="end"/>
      </w:r>
      <w:r w:rsidRPr="00054DEE">
        <w:rPr>
          <w:lang w:val="ro-RO"/>
        </w:rPr>
        <w:t>.</w:t>
      </w:r>
      <w:r>
        <w:rPr>
          <w:lang w:val="ro-RO"/>
        </w:rPr>
        <w:t xml:space="preserve"> În condiţiile articolului </w:t>
      </w:r>
      <w:r w:rsidRPr="00054DEE">
        <w:rPr>
          <w:lang w:val="ro-RO"/>
        </w:rPr>
        <w:t>41</w:t>
      </w:r>
      <w:r>
        <w:rPr>
          <w:lang w:val="ro-RO"/>
        </w:rPr>
        <w:t xml:space="preserve"> din Convenţie</w:t>
      </w:r>
      <w:r w:rsidRPr="00054DEE">
        <w:rPr>
          <w:lang w:val="ro-RO"/>
        </w:rPr>
        <w:t>,</w:t>
      </w:r>
    </w:p>
    <w:p w:rsidR="00886CFB" w:rsidRPr="00054DEE" w:rsidRDefault="00886CFB" w:rsidP="00906B0E">
      <w:pPr>
        <w:pStyle w:val="ECHRParaQuote"/>
        <w:keepNext/>
        <w:keepLines/>
        <w:rPr>
          <w:lang w:val="ro-RO"/>
        </w:rPr>
      </w:pPr>
      <w:r>
        <w:rPr>
          <w:lang w:val="ro-RO"/>
        </w:rPr>
        <w:t xml:space="preserve">„Dacă Curtea declară că a existat o încălcare a Convenţiei sau a Protocoalelor sale şi </w:t>
      </w:r>
      <w:r w:rsidRPr="00054DEE">
        <w:rPr>
          <w:lang w:val="ro-RO"/>
        </w:rPr>
        <w:t>si</w:t>
      </w:r>
      <w:r>
        <w:rPr>
          <w:lang w:val="ro-RO"/>
        </w:rPr>
        <w:t xml:space="preserve"> dreptul intern al Înaltei Părţi contractante nu permite eliminarea decât în mod imperfect a consecinţelor acestei încălcări, Curtea acordă părţii lezate, dacă acest lucru are loc, o satisfacţie echitabilă.”</w:t>
      </w:r>
    </w:p>
    <w:p w:rsidR="00886CFB" w:rsidRPr="00054DEE" w:rsidRDefault="00886CFB" w:rsidP="00906B0E">
      <w:pPr>
        <w:pStyle w:val="ECHRHeading2"/>
        <w:outlineLvl w:val="0"/>
        <w:rPr>
          <w:lang w:val="ro-RO"/>
        </w:rPr>
      </w:pPr>
      <w:r w:rsidRPr="00054DEE">
        <w:rPr>
          <w:lang w:val="ro-RO"/>
        </w:rPr>
        <w:t>A.</w:t>
      </w:r>
      <w:r>
        <w:rPr>
          <w:lang w:val="ro-RO"/>
        </w:rPr>
        <w:t xml:space="preserve"> Daune</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61</w:t>
      </w:r>
      <w:r w:rsidRPr="00054DEE">
        <w:rPr>
          <w:lang w:val="ro-RO"/>
        </w:rPr>
        <w:fldChar w:fldCharType="end"/>
      </w:r>
      <w:r w:rsidRPr="00054DEE">
        <w:rPr>
          <w:lang w:val="ro-RO"/>
        </w:rPr>
        <w:t>.</w:t>
      </w:r>
      <w:r>
        <w:rPr>
          <w:lang w:val="ro-RO"/>
        </w:rPr>
        <w:t xml:space="preserve"> Reclamanta solicită </w:t>
      </w:r>
      <w:r w:rsidRPr="00054DEE">
        <w:rPr>
          <w:lang w:val="ro-RO"/>
        </w:rPr>
        <w:t>107</w:t>
      </w:r>
      <w:r>
        <w:rPr>
          <w:lang w:val="ro-RO"/>
        </w:rPr>
        <w:t xml:space="preserve"> </w:t>
      </w:r>
      <w:r w:rsidRPr="00054DEE">
        <w:rPr>
          <w:lang w:val="ro-RO"/>
        </w:rPr>
        <w:t>500</w:t>
      </w:r>
      <w:r>
        <w:rPr>
          <w:lang w:val="ro-RO"/>
        </w:rPr>
        <w:t xml:space="preserve"> de euro </w:t>
      </w:r>
      <w:r w:rsidRPr="00054DEE">
        <w:rPr>
          <w:lang w:val="ro-RO"/>
        </w:rPr>
        <w:t>(EUR)</w:t>
      </w:r>
      <w:r>
        <w:rPr>
          <w:lang w:val="ro-RO"/>
        </w:rPr>
        <w:t xml:space="preserve"> cu titlu de daune materiale rezultând din pierderea clienţilor şi majorări ale impozitelor pe care a fost obligată să le plătească la încheierea unei proceduri de ajustare judiciară iniţiată împotriva ei ca urmare a consultării extraselor conturilor sale bancare pentru anul </w:t>
      </w:r>
      <w:r w:rsidRPr="00054DEE">
        <w:rPr>
          <w:lang w:val="ro-RO"/>
        </w:rPr>
        <w:t>2006.</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62</w:t>
      </w:r>
      <w:r w:rsidRPr="00054DEE">
        <w:rPr>
          <w:lang w:val="ro-RO"/>
        </w:rPr>
        <w:fldChar w:fldCharType="end"/>
      </w:r>
      <w:r w:rsidRPr="00054DEE">
        <w:rPr>
          <w:lang w:val="ro-RO"/>
        </w:rPr>
        <w:t>.</w:t>
      </w:r>
      <w:r>
        <w:rPr>
          <w:lang w:val="ro-RO"/>
        </w:rPr>
        <w:t xml:space="preserve"> Reclamanta solicită, de asemenea, suma de </w:t>
      </w:r>
      <w:r w:rsidRPr="00054DEE">
        <w:rPr>
          <w:lang w:val="ro-RO"/>
        </w:rPr>
        <w:t>60</w:t>
      </w:r>
      <w:r>
        <w:rPr>
          <w:lang w:val="ro-RO"/>
        </w:rPr>
        <w:t xml:space="preserve"> </w:t>
      </w:r>
      <w:r w:rsidRPr="00054DEE">
        <w:rPr>
          <w:lang w:val="ro-RO"/>
        </w:rPr>
        <w:t>000</w:t>
      </w:r>
      <w:r>
        <w:rPr>
          <w:lang w:val="ro-RO"/>
        </w:rPr>
        <w:t xml:space="preserve"> </w:t>
      </w:r>
      <w:r w:rsidRPr="00054DEE">
        <w:rPr>
          <w:lang w:val="ro-RO"/>
        </w:rPr>
        <w:t>EUR</w:t>
      </w:r>
      <w:r>
        <w:rPr>
          <w:lang w:val="ro-RO"/>
        </w:rPr>
        <w:t xml:space="preserve"> pentru prejudiciul moral pe care l-a suportat din cauza atingerii aduse onoarei şi reputaţiei sale de avocată</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63</w:t>
      </w:r>
      <w:r w:rsidRPr="00054DEE">
        <w:rPr>
          <w:lang w:val="ro-RO"/>
        </w:rPr>
        <w:fldChar w:fldCharType="end"/>
      </w:r>
      <w:r w:rsidRPr="00054DEE">
        <w:rPr>
          <w:lang w:val="ro-RO"/>
        </w:rPr>
        <w:t>.</w:t>
      </w:r>
      <w:r>
        <w:rPr>
          <w:lang w:val="ro-RO"/>
        </w:rPr>
        <w:t xml:space="preserve"> Guvernul respinge cererea reclamantei estimând că aceasta este excesivă şi nu este susţinută</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64</w:t>
      </w:r>
      <w:r w:rsidRPr="00054DEE">
        <w:rPr>
          <w:lang w:val="ro-RO"/>
        </w:rPr>
        <w:fldChar w:fldCharType="end"/>
      </w:r>
      <w:r w:rsidRPr="00054DEE">
        <w:rPr>
          <w:lang w:val="ro-RO"/>
        </w:rPr>
        <w:t>.</w:t>
      </w:r>
      <w:r>
        <w:rPr>
          <w:lang w:val="ro-RO"/>
        </w:rPr>
        <w:t xml:space="preserve"> Curtea nu observă o legătură de cauzalitate între încălcarea constatată şi daunele materiale pretinse şi respinge această cerere</w:t>
      </w:r>
      <w:r w:rsidRPr="00054DEE">
        <w:rPr>
          <w:lang w:val="ro-RO"/>
        </w:rPr>
        <w:t>.</w:t>
      </w:r>
      <w:r>
        <w:rPr>
          <w:lang w:val="ro-RO"/>
        </w:rPr>
        <w:t xml:space="preserve"> În schimb, ea consideră că reclamanta a suferit un prejudiciu moral cert din cauza faptului că nu s-a putut apăra în cadrul procedurii care a vizat ridicarea secretului profesional şi contestarea măsurii litigioase</w:t>
      </w:r>
      <w:r w:rsidRPr="00054DEE">
        <w:rPr>
          <w:lang w:val="ro-RO"/>
        </w:rPr>
        <w:t>.</w:t>
      </w:r>
      <w:r>
        <w:rPr>
          <w:lang w:val="ro-RO"/>
        </w:rPr>
        <w:t xml:space="preserve"> Realizând o evaluare echitabilă</w:t>
      </w:r>
      <w:r w:rsidRPr="00054DEE">
        <w:rPr>
          <w:lang w:val="ro-RO"/>
        </w:rPr>
        <w:t>,</w:t>
      </w:r>
      <w:r>
        <w:rPr>
          <w:lang w:val="ro-RO"/>
        </w:rPr>
        <w:t xml:space="preserve"> Curtea a decis că trebuie să acorde reclamantei </w:t>
      </w:r>
      <w:r w:rsidRPr="00054DEE">
        <w:rPr>
          <w:lang w:val="ro-RO"/>
        </w:rPr>
        <w:t>3</w:t>
      </w:r>
      <w:r>
        <w:rPr>
          <w:lang w:val="ro-RO"/>
        </w:rPr>
        <w:t xml:space="preserve"> </w:t>
      </w:r>
      <w:r w:rsidRPr="00054DEE">
        <w:rPr>
          <w:lang w:val="ro-RO"/>
        </w:rPr>
        <w:t>250</w:t>
      </w:r>
      <w:r>
        <w:rPr>
          <w:lang w:val="ro-RO"/>
        </w:rPr>
        <w:t xml:space="preserve"> </w:t>
      </w:r>
      <w:r w:rsidRPr="00054DEE">
        <w:rPr>
          <w:lang w:val="ro-RO"/>
        </w:rPr>
        <w:t>EUR</w:t>
      </w:r>
      <w:r>
        <w:rPr>
          <w:lang w:val="ro-RO"/>
        </w:rPr>
        <w:t xml:space="preserve"> cu titlu de daune morale</w:t>
      </w:r>
      <w:r w:rsidRPr="00054DEE">
        <w:rPr>
          <w:lang w:val="ro-RO"/>
        </w:rPr>
        <w:t>.</w:t>
      </w:r>
    </w:p>
    <w:p w:rsidR="00886CFB" w:rsidRPr="00054DEE" w:rsidRDefault="00886CFB" w:rsidP="00906B0E">
      <w:pPr>
        <w:pStyle w:val="ECHRHeading2"/>
        <w:outlineLvl w:val="0"/>
        <w:rPr>
          <w:lang w:val="ro-RO"/>
        </w:rPr>
      </w:pPr>
      <w:r w:rsidRPr="00054DEE">
        <w:rPr>
          <w:lang w:val="ro-RO"/>
        </w:rPr>
        <w:t>B.</w:t>
      </w:r>
      <w:r>
        <w:rPr>
          <w:lang w:val="ro-RO"/>
        </w:rPr>
        <w:t xml:space="preserve"> Cheltuieli şi comisioane</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65</w:t>
      </w:r>
      <w:r w:rsidRPr="00054DEE">
        <w:rPr>
          <w:lang w:val="ro-RO"/>
        </w:rPr>
        <w:fldChar w:fldCharType="end"/>
      </w:r>
      <w:r w:rsidRPr="00054DEE">
        <w:rPr>
          <w:lang w:val="ro-RO"/>
        </w:rPr>
        <w:t>.</w:t>
      </w:r>
      <w:r>
        <w:rPr>
          <w:lang w:val="ro-RO"/>
        </w:rPr>
        <w:t xml:space="preserve"> Reclamanta solicită, de asemenea </w:t>
      </w:r>
      <w:r w:rsidRPr="00054DEE">
        <w:rPr>
          <w:lang w:val="ro-RO"/>
        </w:rPr>
        <w:t>1</w:t>
      </w:r>
      <w:r>
        <w:rPr>
          <w:lang w:val="ro-RO"/>
        </w:rPr>
        <w:t>.</w:t>
      </w:r>
      <w:r w:rsidRPr="00054DEE">
        <w:rPr>
          <w:lang w:val="ro-RO"/>
        </w:rPr>
        <w:t>213,98</w:t>
      </w:r>
      <w:r>
        <w:rPr>
          <w:lang w:val="ro-RO"/>
        </w:rPr>
        <w:t xml:space="preserve"> </w:t>
      </w:r>
      <w:r w:rsidRPr="00054DEE">
        <w:rPr>
          <w:lang w:val="ro-RO"/>
        </w:rPr>
        <w:t>EUR</w:t>
      </w:r>
      <w:r>
        <w:rPr>
          <w:lang w:val="ro-RO"/>
        </w:rPr>
        <w:t xml:space="preserve"> pentru comisioanele şi cheltuielile angajate faţă de jurisdicţiile interne şi la Curte</w:t>
      </w:r>
      <w:r w:rsidRPr="00054DEE">
        <w:rPr>
          <w:lang w:val="ro-RO"/>
        </w:rPr>
        <w:t>,</w:t>
      </w:r>
      <w:r>
        <w:rPr>
          <w:lang w:val="ro-RO"/>
        </w:rPr>
        <w:t xml:space="preserve"> care fiind sprijinite de dovezi</w:t>
      </w:r>
      <w:r w:rsidRPr="00054DEE">
        <w:rPr>
          <w:lang w:val="ro-RO"/>
        </w:rPr>
        <w:t>,</w:t>
      </w:r>
      <w:r>
        <w:rPr>
          <w:lang w:val="ro-RO"/>
        </w:rPr>
        <w:t xml:space="preserve"> sunt defalcate în felul următor</w:t>
      </w:r>
      <w:r w:rsidRPr="00054DEE">
        <w:rPr>
          <w:lang w:val="ro-RO"/>
        </w:rPr>
        <w:t>:</w:t>
      </w:r>
    </w:p>
    <w:p w:rsidR="00886CFB" w:rsidRPr="00054DEE" w:rsidRDefault="00886CFB" w:rsidP="00906B0E">
      <w:pPr>
        <w:pStyle w:val="ECHRPara"/>
        <w:rPr>
          <w:lang w:val="ro-RO"/>
        </w:rPr>
      </w:pPr>
      <w:r w:rsidRPr="00054DEE">
        <w:rPr>
          <w:lang w:val="ro-RO"/>
        </w:rPr>
        <w:t>-</w:t>
      </w:r>
      <w:r>
        <w:rPr>
          <w:lang w:val="ro-RO"/>
        </w:rPr>
        <w:t xml:space="preserve"> </w:t>
      </w:r>
      <w:r w:rsidRPr="00054DEE">
        <w:rPr>
          <w:lang w:val="ro-RO"/>
        </w:rPr>
        <w:t>102</w:t>
      </w:r>
      <w:r>
        <w:rPr>
          <w:lang w:val="ro-RO"/>
        </w:rPr>
        <w:t xml:space="preserve"> </w:t>
      </w:r>
      <w:r w:rsidRPr="00054DEE">
        <w:rPr>
          <w:lang w:val="ro-RO"/>
        </w:rPr>
        <w:t>EUR</w:t>
      </w:r>
      <w:r>
        <w:rPr>
          <w:lang w:val="ro-RO"/>
        </w:rPr>
        <w:t xml:space="preserve"> pentru cheltuielile de judecată aferente recursului său la Curtea Supremă</w:t>
      </w:r>
      <w:r w:rsidRPr="00054DEE">
        <w:rPr>
          <w:lang w:val="ro-RO"/>
        </w:rPr>
        <w:t>;</w:t>
      </w:r>
    </w:p>
    <w:p w:rsidR="00886CFB" w:rsidRPr="00054DEE" w:rsidRDefault="00886CFB" w:rsidP="00906B0E">
      <w:pPr>
        <w:pStyle w:val="ECHRPara"/>
        <w:rPr>
          <w:lang w:val="ro-RO"/>
        </w:rPr>
      </w:pPr>
      <w:r w:rsidRPr="00054DEE">
        <w:rPr>
          <w:lang w:val="ro-RO"/>
        </w:rPr>
        <w:lastRenderedPageBreak/>
        <w:t>-</w:t>
      </w:r>
      <w:r>
        <w:rPr>
          <w:lang w:val="ro-RO"/>
        </w:rPr>
        <w:t xml:space="preserve"> </w:t>
      </w:r>
      <w:r w:rsidRPr="00054DEE">
        <w:rPr>
          <w:lang w:val="ro-RO"/>
        </w:rPr>
        <w:t>40,80</w:t>
      </w:r>
      <w:r>
        <w:rPr>
          <w:lang w:val="ro-RO"/>
        </w:rPr>
        <w:t xml:space="preserve"> </w:t>
      </w:r>
      <w:r w:rsidRPr="00054DEE">
        <w:rPr>
          <w:lang w:val="ro-RO"/>
        </w:rPr>
        <w:t>EUR</w:t>
      </w:r>
      <w:r>
        <w:rPr>
          <w:lang w:val="ro-RO"/>
        </w:rPr>
        <w:t xml:space="preserve"> pentru două copii certificate conforme ale pieselor la dosarul de procedură penală</w:t>
      </w:r>
      <w:r w:rsidRPr="00054DEE">
        <w:rPr>
          <w:lang w:val="ro-RO"/>
        </w:rPr>
        <w:t>,</w:t>
      </w:r>
      <w:r>
        <w:rPr>
          <w:lang w:val="ro-RO"/>
        </w:rPr>
        <w:t xml:space="preserve"> transmise de parchetul de pe lângă tribunalul din </w:t>
      </w:r>
      <w:r w:rsidRPr="00054DEE">
        <w:rPr>
          <w:lang w:val="ro-RO"/>
        </w:rPr>
        <w:t>Faro</w:t>
      </w:r>
      <w:r>
        <w:rPr>
          <w:lang w:val="ro-RO"/>
        </w:rPr>
        <w:t xml:space="preserve"> </w:t>
      </w:r>
      <w:r w:rsidRPr="00054DEE">
        <w:rPr>
          <w:lang w:val="ro-RO"/>
        </w:rPr>
        <w:t>;</w:t>
      </w:r>
    </w:p>
    <w:p w:rsidR="00886CFB" w:rsidRPr="00054DEE" w:rsidRDefault="00886CFB" w:rsidP="00906B0E">
      <w:pPr>
        <w:pStyle w:val="ECHRPara"/>
        <w:rPr>
          <w:lang w:val="ro-RO"/>
        </w:rPr>
      </w:pPr>
      <w:r w:rsidRPr="00054DEE">
        <w:rPr>
          <w:lang w:val="ro-RO"/>
        </w:rPr>
        <w:t>-</w:t>
      </w:r>
      <w:r>
        <w:rPr>
          <w:lang w:val="ro-RO"/>
        </w:rPr>
        <w:t xml:space="preserve"> </w:t>
      </w:r>
      <w:r w:rsidRPr="00054DEE">
        <w:rPr>
          <w:lang w:val="ro-RO"/>
        </w:rPr>
        <w:t>106,18</w:t>
      </w:r>
      <w:r>
        <w:rPr>
          <w:lang w:val="ro-RO"/>
        </w:rPr>
        <w:t xml:space="preserve"> </w:t>
      </w:r>
      <w:r w:rsidRPr="00054DEE">
        <w:rPr>
          <w:lang w:val="ro-RO"/>
        </w:rPr>
        <w:t>EUR</w:t>
      </w:r>
      <w:r>
        <w:rPr>
          <w:lang w:val="ro-RO"/>
        </w:rPr>
        <w:t xml:space="preserve"> pentru fotocopii şi cheltuielile de transmitere a corespondenţei cu Curtea</w:t>
      </w:r>
      <w:r w:rsidRPr="00054DEE">
        <w:rPr>
          <w:lang w:val="ro-RO"/>
        </w:rPr>
        <w:t>;</w:t>
      </w:r>
    </w:p>
    <w:p w:rsidR="00886CFB" w:rsidRPr="00054DEE" w:rsidRDefault="00886CFB" w:rsidP="00906B0E">
      <w:pPr>
        <w:pStyle w:val="ECHRPara"/>
        <w:rPr>
          <w:lang w:val="ro-RO"/>
        </w:rPr>
      </w:pPr>
      <w:r w:rsidRPr="00054DEE">
        <w:rPr>
          <w:lang w:val="ro-RO"/>
        </w:rPr>
        <w:t>-</w:t>
      </w:r>
      <w:r>
        <w:rPr>
          <w:lang w:val="ro-RO"/>
        </w:rPr>
        <w:t xml:space="preserve"> </w:t>
      </w:r>
      <w:r w:rsidRPr="00054DEE">
        <w:rPr>
          <w:lang w:val="ro-RO"/>
        </w:rPr>
        <w:t>315</w:t>
      </w:r>
      <w:r>
        <w:rPr>
          <w:lang w:val="ro-RO"/>
        </w:rPr>
        <w:t xml:space="preserve"> </w:t>
      </w:r>
      <w:r w:rsidRPr="00054DEE">
        <w:rPr>
          <w:lang w:val="ro-RO"/>
        </w:rPr>
        <w:t>EUR</w:t>
      </w:r>
      <w:r>
        <w:rPr>
          <w:lang w:val="ro-RO"/>
        </w:rPr>
        <w:t xml:space="preserve"> pentru cheltuielile de traducere a observaţiilor </w:t>
      </w:r>
      <w:r w:rsidRPr="00054DEE">
        <w:rPr>
          <w:lang w:val="ro-RO"/>
        </w:rPr>
        <w:t>;</w:t>
      </w:r>
    </w:p>
    <w:p w:rsidR="00886CFB" w:rsidRPr="00054DEE" w:rsidRDefault="00886CFB" w:rsidP="00906B0E">
      <w:pPr>
        <w:pStyle w:val="ECHRPara"/>
        <w:rPr>
          <w:lang w:val="ro-RO"/>
        </w:rPr>
      </w:pPr>
      <w:r w:rsidRPr="00054DEE">
        <w:rPr>
          <w:lang w:val="ro-RO"/>
        </w:rPr>
        <w:t>-</w:t>
      </w:r>
      <w:r>
        <w:rPr>
          <w:lang w:val="ro-RO"/>
        </w:rPr>
        <w:t xml:space="preserve"> </w:t>
      </w:r>
      <w:r w:rsidRPr="00054DEE">
        <w:rPr>
          <w:lang w:val="ro-RO"/>
        </w:rPr>
        <w:t>100</w:t>
      </w:r>
      <w:r>
        <w:rPr>
          <w:lang w:val="ro-RO"/>
        </w:rPr>
        <w:t xml:space="preserve"> </w:t>
      </w:r>
      <w:r w:rsidRPr="00054DEE">
        <w:rPr>
          <w:lang w:val="ro-RO"/>
        </w:rPr>
        <w:t>EUR</w:t>
      </w:r>
      <w:r>
        <w:rPr>
          <w:lang w:val="ro-RO"/>
        </w:rPr>
        <w:t xml:space="preserve"> pentru consultarea unui psiholog şi</w:t>
      </w:r>
    </w:p>
    <w:p w:rsidR="00886CFB" w:rsidRPr="00054DEE" w:rsidRDefault="00886CFB" w:rsidP="00906B0E">
      <w:pPr>
        <w:pStyle w:val="ECHRPara"/>
        <w:rPr>
          <w:lang w:val="ro-RO"/>
        </w:rPr>
      </w:pPr>
      <w:r w:rsidRPr="00054DEE">
        <w:rPr>
          <w:lang w:val="ro-RO"/>
        </w:rPr>
        <w:t>-</w:t>
      </w:r>
      <w:r>
        <w:rPr>
          <w:lang w:val="ro-RO"/>
        </w:rPr>
        <w:t xml:space="preserve"> </w:t>
      </w:r>
      <w:r w:rsidRPr="00054DEE">
        <w:rPr>
          <w:lang w:val="ro-RO"/>
        </w:rPr>
        <w:t>550</w:t>
      </w:r>
      <w:r>
        <w:rPr>
          <w:lang w:val="ro-RO"/>
        </w:rPr>
        <w:t xml:space="preserve"> </w:t>
      </w:r>
      <w:r w:rsidRPr="00054DEE">
        <w:rPr>
          <w:lang w:val="ro-RO"/>
        </w:rPr>
        <w:t>EUR</w:t>
      </w:r>
      <w:r>
        <w:rPr>
          <w:lang w:val="ro-RO"/>
        </w:rPr>
        <w:t xml:space="preserve"> pentru o encefalogramă făcută pe data de 10 martie </w:t>
      </w:r>
      <w:r w:rsidRPr="00054DEE">
        <w:rPr>
          <w:lang w:val="ro-RO"/>
        </w:rPr>
        <w:t>2010</w:t>
      </w:r>
      <w:r>
        <w:rPr>
          <w:lang w:val="ro-RO"/>
        </w:rPr>
        <w:t xml:space="preserve"> pentru studierea calităţii somnului ei</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66</w:t>
      </w:r>
      <w:r w:rsidRPr="00054DEE">
        <w:rPr>
          <w:lang w:val="ro-RO"/>
        </w:rPr>
        <w:fldChar w:fldCharType="end"/>
      </w:r>
      <w:r w:rsidRPr="00054DEE">
        <w:rPr>
          <w:lang w:val="ro-RO"/>
        </w:rPr>
        <w:t>.</w:t>
      </w:r>
      <w:r>
        <w:rPr>
          <w:lang w:val="ro-RO"/>
        </w:rPr>
        <w:t xml:space="preserve"> Guvernul contestă pretenţia reclamantei privind rambursarea cheltuielilor medicale</w:t>
      </w:r>
      <w:r w:rsidRPr="00054DEE">
        <w:rPr>
          <w:lang w:val="ro-RO"/>
        </w:rPr>
        <w:t>.</w:t>
      </w:r>
      <w:r>
        <w:rPr>
          <w:lang w:val="ro-RO"/>
        </w:rPr>
        <w:t xml:space="preserve"> Pentru restul</w:t>
      </w:r>
      <w:r w:rsidRPr="00054DEE">
        <w:rPr>
          <w:lang w:val="ro-RO"/>
        </w:rPr>
        <w:t>,</w:t>
      </w:r>
      <w:r>
        <w:rPr>
          <w:lang w:val="ro-RO"/>
        </w:rPr>
        <w:t xml:space="preserve"> se bazează pe înţelepciunea Curţii</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67</w:t>
      </w:r>
      <w:r w:rsidRPr="00054DEE">
        <w:rPr>
          <w:lang w:val="ro-RO"/>
        </w:rPr>
        <w:fldChar w:fldCharType="end"/>
      </w:r>
      <w:r w:rsidRPr="00054DEE">
        <w:rPr>
          <w:lang w:val="ro-RO"/>
        </w:rPr>
        <w:t>.</w:t>
      </w:r>
      <w:r>
        <w:rPr>
          <w:lang w:val="ro-RO"/>
        </w:rPr>
        <w:t xml:space="preserve"> Curtea reaminteşte că</w:t>
      </w:r>
      <w:r w:rsidRPr="00054DEE">
        <w:rPr>
          <w:lang w:val="ro-RO"/>
        </w:rPr>
        <w:t>,</w:t>
      </w:r>
      <w:r>
        <w:rPr>
          <w:lang w:val="ro-RO"/>
        </w:rPr>
        <w:t xml:space="preserve"> dacă constată o încălcare a Convenţiei</w:t>
      </w:r>
      <w:r w:rsidRPr="00054DEE">
        <w:rPr>
          <w:lang w:val="ro-RO"/>
        </w:rPr>
        <w:t>,</w:t>
      </w:r>
      <w:r>
        <w:rPr>
          <w:lang w:val="ro-RO"/>
        </w:rPr>
        <w:t xml:space="preserve"> ea poate acorda plata cheltuielilor şi comisioanelor prezentate jurisdicţiilor naţionale „pentru a preveni sau corecta prin acestea încălcarea menţionată” </w:t>
      </w:r>
      <w:r w:rsidRPr="00054DEE">
        <w:rPr>
          <w:lang w:val="ro-RO"/>
        </w:rPr>
        <w:t>(</w:t>
      </w:r>
      <w:r>
        <w:rPr>
          <w:lang w:val="ro-RO"/>
        </w:rPr>
        <w:t>a se vedea, printre multe altele</w:t>
      </w:r>
      <w:r w:rsidRPr="00054DEE">
        <w:rPr>
          <w:lang w:val="ro-RO"/>
        </w:rPr>
        <w:t>,</w:t>
      </w:r>
      <w:r>
        <w:rPr>
          <w:lang w:val="ro-RO"/>
        </w:rPr>
        <w:t xml:space="preserve"> </w:t>
      </w:r>
      <w:r w:rsidRPr="00054DEE">
        <w:rPr>
          <w:i/>
          <w:iCs/>
          <w:lang w:val="ro-RO"/>
        </w:rPr>
        <w:t>Hertel</w:t>
      </w:r>
      <w:r>
        <w:rPr>
          <w:i/>
          <w:iCs/>
          <w:lang w:val="ro-RO"/>
        </w:rPr>
        <w:t xml:space="preserve"> </w:t>
      </w:r>
      <w:r w:rsidRPr="00054DEE">
        <w:rPr>
          <w:i/>
          <w:iCs/>
          <w:lang w:val="ro-RO"/>
        </w:rPr>
        <w:t>c.</w:t>
      </w:r>
      <w:r>
        <w:rPr>
          <w:i/>
          <w:iCs/>
          <w:lang w:val="ro-RO"/>
        </w:rPr>
        <w:t xml:space="preserve"> </w:t>
      </w:r>
      <w:r w:rsidRPr="00054DEE">
        <w:rPr>
          <w:i/>
          <w:iCs/>
          <w:lang w:val="ro-RO"/>
        </w:rPr>
        <w:t>Suisse</w:t>
      </w:r>
      <w:r>
        <w:rPr>
          <w:lang w:val="ro-RO"/>
        </w:rPr>
        <w:t xml:space="preserve">, 25 august </w:t>
      </w:r>
      <w:r w:rsidRPr="00054DEE">
        <w:rPr>
          <w:lang w:val="ro-RO"/>
        </w:rPr>
        <w:t>1998,</w:t>
      </w:r>
      <w:r>
        <w:rPr>
          <w:lang w:val="ro-RO"/>
        </w:rPr>
        <w:t xml:space="preserve"> </w:t>
      </w:r>
      <w:r w:rsidRPr="00054DEE">
        <w:rPr>
          <w:lang w:val="ro-RO"/>
        </w:rPr>
        <w:t>§</w:t>
      </w:r>
      <w:r>
        <w:rPr>
          <w:lang w:val="ro-RO"/>
        </w:rPr>
        <w:t xml:space="preserve"> </w:t>
      </w:r>
      <w:r w:rsidRPr="00054DEE">
        <w:rPr>
          <w:lang w:val="ro-RO"/>
        </w:rPr>
        <w:t>63,</w:t>
      </w:r>
      <w:r>
        <w:rPr>
          <w:lang w:val="ro-RO"/>
        </w:rPr>
        <w:t xml:space="preserve"> </w:t>
      </w:r>
      <w:r w:rsidRPr="00054DEE">
        <w:rPr>
          <w:i/>
          <w:iCs/>
          <w:lang w:val="ro-RO"/>
        </w:rPr>
        <w:t>Recueil</w:t>
      </w:r>
      <w:r>
        <w:rPr>
          <w:i/>
          <w:iCs/>
          <w:lang w:val="ro-RO"/>
        </w:rPr>
        <w:t xml:space="preserve"> </w:t>
      </w:r>
      <w:r w:rsidRPr="00054DEE">
        <w:rPr>
          <w:i/>
          <w:iCs/>
          <w:lang w:val="ro-RO"/>
        </w:rPr>
        <w:t>des</w:t>
      </w:r>
      <w:r>
        <w:rPr>
          <w:i/>
          <w:iCs/>
          <w:lang w:val="ro-RO"/>
        </w:rPr>
        <w:t xml:space="preserve"> </w:t>
      </w:r>
      <w:r w:rsidRPr="00054DEE">
        <w:rPr>
          <w:i/>
          <w:iCs/>
          <w:lang w:val="ro-RO"/>
        </w:rPr>
        <w:t>arrêts</w:t>
      </w:r>
      <w:r>
        <w:rPr>
          <w:i/>
          <w:iCs/>
          <w:lang w:val="ro-RO"/>
        </w:rPr>
        <w:t xml:space="preserve"> şi </w:t>
      </w:r>
      <w:r w:rsidRPr="00054DEE">
        <w:rPr>
          <w:i/>
          <w:iCs/>
          <w:lang w:val="ro-RO"/>
        </w:rPr>
        <w:t>décisions</w:t>
      </w:r>
      <w:r>
        <w:rPr>
          <w:lang w:val="ro-RO"/>
        </w:rPr>
        <w:t xml:space="preserve"> </w:t>
      </w:r>
      <w:r w:rsidRPr="00054DEE">
        <w:rPr>
          <w:lang w:val="ro-RO"/>
        </w:rPr>
        <w:t>1998</w:t>
      </w:r>
      <w:r w:rsidRPr="00054DEE">
        <w:rPr>
          <w:lang w:val="ro-RO"/>
        </w:rPr>
        <w:noBreakHyphen/>
        <w:t>VI).</w:t>
      </w:r>
      <w:r>
        <w:rPr>
          <w:lang w:val="ro-RO"/>
        </w:rPr>
        <w:t xml:space="preserve"> În acest caz</w:t>
      </w:r>
      <w:r w:rsidRPr="00054DEE">
        <w:rPr>
          <w:lang w:val="ro-RO"/>
        </w:rPr>
        <w:t>,</w:t>
      </w:r>
      <w:r>
        <w:rPr>
          <w:lang w:val="ro-RO"/>
        </w:rPr>
        <w:t xml:space="preserve"> având în vedere că încălcarea constatată se referă la o imixtiune în viaţa privată a reclamantei pe care reclamanta a încercat să o conteste la Curtea Supremă</w:t>
      </w:r>
      <w:r w:rsidRPr="00054DEE">
        <w:rPr>
          <w:lang w:val="ro-RO"/>
        </w:rPr>
        <w:t>,</w:t>
      </w:r>
      <w:r>
        <w:rPr>
          <w:lang w:val="ro-RO"/>
        </w:rPr>
        <w:t xml:space="preserve"> cheltuielile aferente acesteia au fost angajate pentru corectarea încălcării constatate</w:t>
      </w:r>
      <w:r w:rsidRPr="00054DEE">
        <w:rPr>
          <w:lang w:val="ro-RO"/>
        </w:rPr>
        <w:t>,</w:t>
      </w:r>
      <w:r>
        <w:rPr>
          <w:lang w:val="ro-RO"/>
        </w:rPr>
        <w:t xml:space="preserve"> estee deci cazul ca suma pretinsă de reclamantă în această privinţă, </w:t>
      </w:r>
      <w:r w:rsidRPr="00054DEE">
        <w:rPr>
          <w:lang w:val="ro-RO"/>
        </w:rPr>
        <w:t>102</w:t>
      </w:r>
      <w:r>
        <w:rPr>
          <w:lang w:val="ro-RO"/>
        </w:rPr>
        <w:t xml:space="preserve"> </w:t>
      </w:r>
      <w:r w:rsidRPr="00054DEE">
        <w:rPr>
          <w:lang w:val="ro-RO"/>
        </w:rPr>
        <w:t>EUR</w:t>
      </w:r>
      <w:r>
        <w:rPr>
          <w:lang w:val="ro-RO"/>
        </w:rPr>
        <w:t xml:space="preserve"> trebuie rambursate</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68</w:t>
      </w:r>
      <w:r w:rsidRPr="00054DEE">
        <w:rPr>
          <w:lang w:val="ro-RO"/>
        </w:rPr>
        <w:fldChar w:fldCharType="end"/>
      </w:r>
      <w:r w:rsidRPr="00054DEE">
        <w:rPr>
          <w:lang w:val="ro-RO"/>
        </w:rPr>
        <w:t>.</w:t>
      </w:r>
      <w:r>
        <w:rPr>
          <w:lang w:val="ro-RO"/>
        </w:rPr>
        <w:t xml:space="preserve"> În ceea ce priveşte costurile şi cheltuielile suportate faţă de ea</w:t>
      </w:r>
      <w:r w:rsidRPr="00054DEE">
        <w:rPr>
          <w:lang w:val="ro-RO"/>
        </w:rPr>
        <w:t>,</w:t>
      </w:r>
      <w:r>
        <w:rPr>
          <w:lang w:val="ro-RO"/>
        </w:rPr>
        <w:t xml:space="preserve"> Curtea reaminteşte că un reclamant nu poate obţine rambursarea acestora decât în măsura în care este stabilită realitatea acestora</w:t>
      </w:r>
      <w:r w:rsidRPr="00054DEE">
        <w:rPr>
          <w:lang w:val="ro-RO"/>
        </w:rPr>
        <w:t>,</w:t>
      </w:r>
      <w:r>
        <w:rPr>
          <w:lang w:val="ro-RO"/>
        </w:rPr>
        <w:t xml:space="preserve"> necesitatea acestora şi caracterul rezonabil al ratei acestora </w:t>
      </w:r>
      <w:r w:rsidRPr="00054DEE">
        <w:rPr>
          <w:lang w:val="ro-RO"/>
        </w:rPr>
        <w:t>(</w:t>
      </w:r>
      <w:r w:rsidRPr="00054DEE">
        <w:rPr>
          <w:i/>
          <w:lang w:val="ro-RO"/>
        </w:rPr>
        <w:t>Iatridis</w:t>
      </w:r>
      <w:r>
        <w:rPr>
          <w:i/>
          <w:lang w:val="ro-RO"/>
        </w:rPr>
        <w:t xml:space="preserve"> </w:t>
      </w:r>
      <w:r w:rsidRPr="00054DEE">
        <w:rPr>
          <w:i/>
          <w:lang w:val="ro-RO"/>
        </w:rPr>
        <w:t>c.</w:t>
      </w:r>
      <w:r>
        <w:rPr>
          <w:i/>
          <w:lang w:val="ro-RO"/>
        </w:rPr>
        <w:t xml:space="preserve"> </w:t>
      </w:r>
      <w:r w:rsidRPr="00054DEE">
        <w:rPr>
          <w:i/>
          <w:lang w:val="ro-RO"/>
        </w:rPr>
        <w:t>Grèce</w:t>
      </w:r>
      <w:r>
        <w:rPr>
          <w:lang w:val="ro-RO"/>
        </w:rPr>
        <w:t xml:space="preserve"> satisfacţia echitabilă</w:t>
      </w:r>
      <w:r w:rsidRPr="00054DEE">
        <w:rPr>
          <w:lang w:val="ro-RO"/>
        </w:rPr>
        <w:t>)</w:t>
      </w:r>
      <w:r>
        <w:rPr>
          <w:lang w:val="ro-RO"/>
        </w:rPr>
        <w:t xml:space="preserve"> </w:t>
      </w:r>
      <w:r w:rsidRPr="00054DEE">
        <w:rPr>
          <w:lang w:val="ro-RO"/>
        </w:rPr>
        <w:t>[GC],</w:t>
      </w:r>
      <w:r>
        <w:rPr>
          <w:lang w:val="ro-RO"/>
        </w:rPr>
        <w:t xml:space="preserve"> nr. </w:t>
      </w:r>
      <w:r w:rsidRPr="00054DEE">
        <w:rPr>
          <w:lang w:val="ro-RO"/>
        </w:rPr>
        <w:t>31107/96,</w:t>
      </w:r>
      <w:r>
        <w:rPr>
          <w:lang w:val="ro-RO"/>
        </w:rPr>
        <w:t xml:space="preserve"> </w:t>
      </w:r>
      <w:r w:rsidRPr="00054DEE">
        <w:rPr>
          <w:lang w:val="ro-RO"/>
        </w:rPr>
        <w:t>§</w:t>
      </w:r>
      <w:r>
        <w:rPr>
          <w:lang w:val="ro-RO"/>
        </w:rPr>
        <w:t xml:space="preserve"> </w:t>
      </w:r>
      <w:r w:rsidRPr="00054DEE">
        <w:rPr>
          <w:lang w:val="ro-RO"/>
        </w:rPr>
        <w:t>54,</w:t>
      </w:r>
      <w:r>
        <w:rPr>
          <w:lang w:val="ro-RO"/>
        </w:rPr>
        <w:t xml:space="preserve"> </w:t>
      </w:r>
      <w:r w:rsidRPr="00054DEE">
        <w:rPr>
          <w:lang w:val="ro-RO"/>
        </w:rPr>
        <w:t>CEDH</w:t>
      </w:r>
      <w:r>
        <w:rPr>
          <w:lang w:val="ro-RO"/>
        </w:rPr>
        <w:t xml:space="preserve"> </w:t>
      </w:r>
      <w:r w:rsidRPr="00054DEE">
        <w:rPr>
          <w:lang w:val="ro-RO"/>
        </w:rPr>
        <w:t>2000</w:t>
      </w:r>
      <w:r w:rsidRPr="00054DEE">
        <w:rPr>
          <w:lang w:val="ro-RO"/>
        </w:rPr>
        <w:noBreakHyphen/>
        <w:t>XI).</w:t>
      </w:r>
      <w:r>
        <w:rPr>
          <w:lang w:val="ro-RO"/>
        </w:rPr>
        <w:t xml:space="preserve"> În acest caz</w:t>
      </w:r>
      <w:r w:rsidRPr="00054DEE">
        <w:rPr>
          <w:lang w:val="ro-RO"/>
        </w:rPr>
        <w:t>,</w:t>
      </w:r>
      <w:r>
        <w:rPr>
          <w:lang w:val="ro-RO"/>
        </w:rPr>
        <w:t xml:space="preserve"> având în vedere documentele aflate în posesia sa şi criteriile susmenţionate</w:t>
      </w:r>
      <w:r w:rsidRPr="00054DEE">
        <w:rPr>
          <w:lang w:val="ro-RO"/>
        </w:rPr>
        <w:t>,</w:t>
      </w:r>
      <w:r>
        <w:rPr>
          <w:lang w:val="ro-RO"/>
        </w:rPr>
        <w:t xml:space="preserve"> Curtea estimează ca fiind rezonabil să acorde cu acest titlu </w:t>
      </w:r>
      <w:r w:rsidRPr="00054DEE">
        <w:rPr>
          <w:lang w:val="ro-RO"/>
        </w:rPr>
        <w:t>361,98</w:t>
      </w:r>
      <w:r>
        <w:rPr>
          <w:lang w:val="ro-RO"/>
        </w:rPr>
        <w:t xml:space="preserve"> </w:t>
      </w:r>
      <w:r w:rsidRPr="00054DEE">
        <w:rPr>
          <w:lang w:val="ro-RO"/>
        </w:rPr>
        <w:t>EUR</w:t>
      </w:r>
      <w:r>
        <w:rPr>
          <w:lang w:val="ro-RO"/>
        </w:rPr>
        <w:t xml:space="preserve"> reclamantei</w:t>
      </w:r>
      <w:r w:rsidRPr="00054DEE">
        <w:rPr>
          <w:lang w:val="ro-RO"/>
        </w:rPr>
        <w:t>,</w:t>
      </w:r>
      <w:r>
        <w:rPr>
          <w:lang w:val="ro-RO"/>
        </w:rPr>
        <w:t xml:space="preserve"> cheltuielile medicale ocazionate de încălcarea constatată fiind deja acoperite de suma atribuită cu titlu de daune morale</w:t>
      </w:r>
      <w:r w:rsidRPr="00054DEE">
        <w:rPr>
          <w:lang w:val="ro-RO"/>
        </w:rPr>
        <w:t>.</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69</w:t>
      </w:r>
      <w:r w:rsidRPr="00054DEE">
        <w:rPr>
          <w:lang w:val="ro-RO"/>
        </w:rPr>
        <w:fldChar w:fldCharType="end"/>
      </w:r>
      <w:r w:rsidRPr="00054DEE">
        <w:rPr>
          <w:lang w:val="ro-RO"/>
        </w:rPr>
        <w:t>.</w:t>
      </w:r>
      <w:r>
        <w:rPr>
          <w:lang w:val="ro-RO"/>
        </w:rPr>
        <w:t xml:space="preserve"> În consecinţă</w:t>
      </w:r>
      <w:r w:rsidRPr="00054DEE">
        <w:rPr>
          <w:lang w:val="ro-RO"/>
        </w:rPr>
        <w:t>,</w:t>
      </w:r>
      <w:r>
        <w:rPr>
          <w:lang w:val="ro-RO"/>
        </w:rPr>
        <w:t xml:space="preserve"> Curtea acordă reclamantei suma totală de </w:t>
      </w:r>
      <w:r w:rsidRPr="00054DEE">
        <w:rPr>
          <w:lang w:val="ro-RO"/>
        </w:rPr>
        <w:t>463,98</w:t>
      </w:r>
      <w:r>
        <w:rPr>
          <w:lang w:val="ro-RO"/>
        </w:rPr>
        <w:t xml:space="preserve"> </w:t>
      </w:r>
      <w:r w:rsidRPr="00054DEE">
        <w:rPr>
          <w:lang w:val="ro-RO"/>
        </w:rPr>
        <w:t>EUR</w:t>
      </w:r>
      <w:r>
        <w:rPr>
          <w:lang w:val="ro-RO"/>
        </w:rPr>
        <w:t xml:space="preserve"> pentru toate costurile şi cheltuielile</w:t>
      </w:r>
      <w:r w:rsidRPr="00054DEE">
        <w:rPr>
          <w:lang w:val="ro-RO"/>
        </w:rPr>
        <w:t>.</w:t>
      </w:r>
    </w:p>
    <w:p w:rsidR="00886CFB" w:rsidRPr="00054DEE" w:rsidRDefault="00886CFB" w:rsidP="00906B0E">
      <w:pPr>
        <w:pStyle w:val="ECHRHeading2"/>
        <w:outlineLvl w:val="0"/>
        <w:rPr>
          <w:lang w:val="ro-RO"/>
        </w:rPr>
      </w:pPr>
      <w:r w:rsidRPr="00054DEE">
        <w:rPr>
          <w:lang w:val="ro-RO"/>
        </w:rPr>
        <w:t>C.</w:t>
      </w:r>
      <w:r>
        <w:rPr>
          <w:lang w:val="ro-RO"/>
        </w:rPr>
        <w:t xml:space="preserve"> Daune-interese moratorii</w:t>
      </w:r>
    </w:p>
    <w:p w:rsidR="00886CFB" w:rsidRPr="00054DEE" w:rsidRDefault="00886CFB" w:rsidP="00906B0E">
      <w:pPr>
        <w:pStyle w:val="ECHRPara"/>
        <w:rPr>
          <w:lang w:val="ro-RO"/>
        </w:rPr>
      </w:pPr>
      <w:r w:rsidRPr="00054DEE">
        <w:rPr>
          <w:lang w:val="ro-RO"/>
        </w:rPr>
        <w:fldChar w:fldCharType="begin"/>
      </w:r>
      <w:r w:rsidRPr="00054DEE">
        <w:rPr>
          <w:lang w:val="ro-RO"/>
        </w:rPr>
        <w:instrText xml:space="preserve"> SEQ level0 \*arabic </w:instrText>
      </w:r>
      <w:r w:rsidRPr="00054DEE">
        <w:rPr>
          <w:lang w:val="ro-RO"/>
        </w:rPr>
        <w:fldChar w:fldCharType="separate"/>
      </w:r>
      <w:r w:rsidR="004C1F7F">
        <w:rPr>
          <w:noProof/>
          <w:lang w:val="ro-RO"/>
        </w:rPr>
        <w:t>70</w:t>
      </w:r>
      <w:r w:rsidRPr="00054DEE">
        <w:rPr>
          <w:lang w:val="ro-RO"/>
        </w:rPr>
        <w:fldChar w:fldCharType="end"/>
      </w:r>
      <w:r w:rsidRPr="00054DEE">
        <w:rPr>
          <w:lang w:val="ro-RO"/>
        </w:rPr>
        <w:t>.</w:t>
      </w:r>
      <w:r>
        <w:rPr>
          <w:lang w:val="ro-RO"/>
        </w:rPr>
        <w:t xml:space="preserve"> Curtea consideră că este adecvat să calculeze ratele daunelor-interese moratorii pe baza ratei </w:t>
      </w:r>
      <w:r w:rsidRPr="00054DEE">
        <w:rPr>
          <w:lang w:val="ro-RO"/>
        </w:rPr>
        <w:t>marginal</w:t>
      </w:r>
      <w:r>
        <w:rPr>
          <w:lang w:val="ro-RO"/>
        </w:rPr>
        <w:t xml:space="preserve"> a dobânzilor facilităţii de împrumut a Băncii Centrale Europene majorate cu trei puncte procentuale.</w:t>
      </w:r>
    </w:p>
    <w:p w:rsidR="00886CFB" w:rsidRPr="00054DEE" w:rsidRDefault="00886CFB" w:rsidP="00906B0E">
      <w:pPr>
        <w:pStyle w:val="ECHRTitle1"/>
        <w:rPr>
          <w:lang w:val="ro-RO"/>
        </w:rPr>
      </w:pPr>
      <w:r>
        <w:rPr>
          <w:lang w:val="ro-RO"/>
        </w:rPr>
        <w:t>DIN ACESTE MOTIVE</w:t>
      </w:r>
      <w:r w:rsidRPr="00054DEE">
        <w:rPr>
          <w:lang w:val="ro-RO"/>
        </w:rPr>
        <w:t>,</w:t>
      </w:r>
      <w:r>
        <w:rPr>
          <w:lang w:val="ro-RO"/>
        </w:rPr>
        <w:t xml:space="preserve"> CURTEA, ÎN UNANIMITATE</w:t>
      </w:r>
      <w:r w:rsidRPr="00054DEE">
        <w:rPr>
          <w:lang w:val="ro-RO"/>
        </w:rPr>
        <w:t>,</w:t>
      </w:r>
    </w:p>
    <w:p w:rsidR="00886CFB" w:rsidRPr="00054DEE" w:rsidRDefault="00886CFB" w:rsidP="00906B0E">
      <w:pPr>
        <w:pStyle w:val="JuList"/>
        <w:rPr>
          <w:lang w:val="ro-RO"/>
        </w:rPr>
      </w:pPr>
      <w:r w:rsidRPr="00054DEE">
        <w:rPr>
          <w:lang w:val="ro-RO"/>
        </w:rPr>
        <w:t>1.</w:t>
      </w:r>
      <w:r>
        <w:rPr>
          <w:lang w:val="ro-RO"/>
        </w:rPr>
        <w:t xml:space="preserve"> </w:t>
      </w:r>
      <w:r w:rsidRPr="00054DEE">
        <w:rPr>
          <w:i/>
          <w:lang w:val="ro-RO"/>
        </w:rPr>
        <w:t>D</w:t>
      </w:r>
      <w:r>
        <w:rPr>
          <w:i/>
          <w:lang w:val="ro-RO"/>
        </w:rPr>
        <w:t>e</w:t>
      </w:r>
      <w:r w:rsidRPr="00054DEE">
        <w:rPr>
          <w:i/>
          <w:lang w:val="ro-RO"/>
        </w:rPr>
        <w:t>clar</w:t>
      </w:r>
      <w:r>
        <w:rPr>
          <w:i/>
          <w:lang w:val="ro-RO"/>
        </w:rPr>
        <w:t>ă</w:t>
      </w:r>
      <w:r>
        <w:rPr>
          <w:lang w:val="ro-RO"/>
        </w:rPr>
        <w:t xml:space="preserve"> petiţia admisibilă </w:t>
      </w:r>
      <w:r w:rsidRPr="00054DEE">
        <w:rPr>
          <w:lang w:val="ro-RO"/>
        </w:rPr>
        <w:t>;</w:t>
      </w:r>
    </w:p>
    <w:p w:rsidR="00886CFB" w:rsidRPr="00054DEE" w:rsidRDefault="00886CFB" w:rsidP="00906B0E">
      <w:pPr>
        <w:pStyle w:val="JuList"/>
        <w:rPr>
          <w:lang w:val="ro-RO"/>
        </w:rPr>
      </w:pPr>
    </w:p>
    <w:p w:rsidR="00886CFB" w:rsidRPr="00054DEE" w:rsidRDefault="00886CFB" w:rsidP="00906B0E">
      <w:pPr>
        <w:pStyle w:val="JuList"/>
        <w:rPr>
          <w:lang w:val="ro-RO"/>
        </w:rPr>
      </w:pPr>
      <w:r w:rsidRPr="00054DEE">
        <w:rPr>
          <w:lang w:val="ro-RO"/>
        </w:rPr>
        <w:t>2.</w:t>
      </w:r>
      <w:r>
        <w:rPr>
          <w:lang w:val="ro-RO"/>
        </w:rPr>
        <w:t xml:space="preserve"> </w:t>
      </w:r>
      <w:r>
        <w:rPr>
          <w:i/>
          <w:lang w:val="ro-RO"/>
        </w:rPr>
        <w:t>Spune că</w:t>
      </w:r>
      <w:r>
        <w:rPr>
          <w:lang w:val="ro-RO"/>
        </w:rPr>
        <w:t xml:space="preserve"> a existat o încălcare a articolului </w:t>
      </w:r>
      <w:r w:rsidRPr="00054DEE">
        <w:rPr>
          <w:lang w:val="ro-RO"/>
        </w:rPr>
        <w:t>8</w:t>
      </w:r>
      <w:r>
        <w:rPr>
          <w:lang w:val="ro-RO"/>
        </w:rPr>
        <w:t xml:space="preserve"> din Convenţie </w:t>
      </w:r>
      <w:r w:rsidRPr="00054DEE">
        <w:rPr>
          <w:lang w:val="ro-RO"/>
        </w:rPr>
        <w:t>;</w:t>
      </w:r>
    </w:p>
    <w:p w:rsidR="00886CFB" w:rsidRPr="00054DEE" w:rsidRDefault="00886CFB" w:rsidP="00906B0E">
      <w:pPr>
        <w:pStyle w:val="JuList"/>
        <w:rPr>
          <w:lang w:val="ro-RO"/>
        </w:rPr>
      </w:pPr>
    </w:p>
    <w:p w:rsidR="00886CFB" w:rsidRPr="00054DEE" w:rsidRDefault="00886CFB" w:rsidP="00906B0E">
      <w:pPr>
        <w:pStyle w:val="JuList"/>
        <w:rPr>
          <w:lang w:val="ro-RO"/>
        </w:rPr>
      </w:pPr>
      <w:r w:rsidRPr="00054DEE">
        <w:rPr>
          <w:lang w:val="ro-RO"/>
        </w:rPr>
        <w:t>3.</w:t>
      </w:r>
      <w:r>
        <w:rPr>
          <w:lang w:val="ro-RO"/>
        </w:rPr>
        <w:t xml:space="preserve"> </w:t>
      </w:r>
      <w:r>
        <w:rPr>
          <w:i/>
          <w:lang w:val="ro-RO"/>
        </w:rPr>
        <w:t>Spune că</w:t>
      </w:r>
    </w:p>
    <w:p w:rsidR="00886CFB" w:rsidRPr="00054DEE" w:rsidRDefault="00886CFB" w:rsidP="00906B0E">
      <w:pPr>
        <w:pStyle w:val="JuLista"/>
        <w:rPr>
          <w:lang w:val="ro-RO"/>
        </w:rPr>
      </w:pPr>
      <w:r w:rsidRPr="00054DEE">
        <w:rPr>
          <w:lang w:val="ro-RO"/>
        </w:rPr>
        <w:t>a)</w:t>
      </w:r>
      <w:r>
        <w:rPr>
          <w:lang w:val="ro-RO"/>
        </w:rPr>
        <w:t xml:space="preserve"> că Statul pârât trebuie să plătească reclamantei, în termen de trei luni de la data la care hotărârea va deveni definitivă conform articolului </w:t>
      </w:r>
      <w:r w:rsidRPr="00054DEE">
        <w:rPr>
          <w:lang w:val="ro-RO"/>
        </w:rPr>
        <w:t>44</w:t>
      </w:r>
      <w:r>
        <w:rPr>
          <w:lang w:val="ro-RO"/>
        </w:rPr>
        <w:t xml:space="preserve"> </w:t>
      </w:r>
      <w:r w:rsidRPr="00054DEE">
        <w:rPr>
          <w:lang w:val="ro-RO"/>
        </w:rPr>
        <w:t>§</w:t>
      </w:r>
      <w:r>
        <w:rPr>
          <w:lang w:val="ro-RO"/>
        </w:rPr>
        <w:t xml:space="preserve"> </w:t>
      </w:r>
      <w:r w:rsidRPr="00054DEE">
        <w:rPr>
          <w:lang w:val="ro-RO"/>
        </w:rPr>
        <w:t>2</w:t>
      </w:r>
      <w:r>
        <w:rPr>
          <w:lang w:val="ro-RO"/>
        </w:rPr>
        <w:t xml:space="preserve"> din Convenţie</w:t>
      </w:r>
      <w:r w:rsidRPr="00054DEE">
        <w:rPr>
          <w:lang w:val="ro-RO"/>
        </w:rPr>
        <w:t>,</w:t>
      </w:r>
      <w:r>
        <w:rPr>
          <w:lang w:val="ro-RO"/>
        </w:rPr>
        <w:t xml:space="preserve"> sumele următoare:</w:t>
      </w:r>
    </w:p>
    <w:p w:rsidR="00886CFB" w:rsidRPr="00054DEE" w:rsidRDefault="00886CFB" w:rsidP="00906B0E">
      <w:pPr>
        <w:pStyle w:val="JuListi"/>
        <w:rPr>
          <w:lang w:val="ro-RO" w:eastAsia="en-GB"/>
        </w:rPr>
      </w:pPr>
      <w:r w:rsidRPr="00054DEE">
        <w:rPr>
          <w:lang w:val="ro-RO" w:eastAsia="en-GB"/>
        </w:rPr>
        <w:t>i)</w:t>
      </w:r>
      <w:r>
        <w:rPr>
          <w:lang w:val="ro-RO" w:eastAsia="en-GB"/>
        </w:rPr>
        <w:t xml:space="preserve"> </w:t>
      </w:r>
      <w:r w:rsidRPr="00054DEE">
        <w:rPr>
          <w:lang w:val="ro-RO" w:eastAsia="en-GB"/>
        </w:rPr>
        <w:t>3</w:t>
      </w:r>
      <w:r>
        <w:rPr>
          <w:lang w:val="ro-RO" w:eastAsia="en-GB"/>
        </w:rPr>
        <w:t>.</w:t>
      </w:r>
      <w:r w:rsidRPr="00054DEE">
        <w:rPr>
          <w:lang w:val="ro-RO" w:eastAsia="en-GB"/>
        </w:rPr>
        <w:t>250</w:t>
      </w:r>
      <w:r>
        <w:rPr>
          <w:lang w:val="ro-RO" w:eastAsia="en-GB"/>
        </w:rPr>
        <w:t xml:space="preserve"> </w:t>
      </w:r>
      <w:r w:rsidRPr="00054DEE">
        <w:rPr>
          <w:lang w:val="ro-RO" w:eastAsia="en-GB"/>
        </w:rPr>
        <w:t>EUR</w:t>
      </w:r>
      <w:r>
        <w:rPr>
          <w:lang w:val="ro-RO" w:eastAsia="en-GB"/>
        </w:rPr>
        <w:t xml:space="preserve"> </w:t>
      </w:r>
      <w:r w:rsidRPr="00054DEE">
        <w:rPr>
          <w:lang w:val="ro-RO" w:eastAsia="en-GB"/>
        </w:rPr>
        <w:t>(</w:t>
      </w:r>
      <w:r>
        <w:rPr>
          <w:lang w:val="ro-RO" w:eastAsia="en-GB"/>
        </w:rPr>
        <w:t>trei mii două sute cincizeci de euro</w:t>
      </w:r>
      <w:r w:rsidRPr="00054DEE">
        <w:rPr>
          <w:lang w:val="ro-RO" w:eastAsia="en-GB"/>
        </w:rPr>
        <w:t>),</w:t>
      </w:r>
      <w:r>
        <w:rPr>
          <w:lang w:val="ro-RO" w:eastAsia="en-GB"/>
        </w:rPr>
        <w:t xml:space="preserve"> </w:t>
      </w:r>
      <w:r w:rsidRPr="00054DEE">
        <w:rPr>
          <w:lang w:val="ro-RO" w:eastAsia="en-GB"/>
        </w:rPr>
        <w:t>plus</w:t>
      </w:r>
      <w:r>
        <w:rPr>
          <w:lang w:val="ro-RO" w:eastAsia="en-GB"/>
        </w:rPr>
        <w:t xml:space="preserve"> orice sumă care ar putea fi datorată cu titlu de impozit, ca daune morale</w:t>
      </w:r>
      <w:r w:rsidRPr="00054DEE">
        <w:rPr>
          <w:lang w:val="ro-RO" w:eastAsia="en-GB"/>
        </w:rPr>
        <w:t>;</w:t>
      </w:r>
    </w:p>
    <w:p w:rsidR="00886CFB" w:rsidRPr="00054DEE" w:rsidRDefault="00886CFB" w:rsidP="00906B0E">
      <w:pPr>
        <w:pStyle w:val="JuListi"/>
        <w:rPr>
          <w:lang w:val="ro-RO" w:eastAsia="en-GB"/>
        </w:rPr>
      </w:pPr>
      <w:r w:rsidRPr="00054DEE">
        <w:rPr>
          <w:lang w:val="ro-RO" w:eastAsia="en-GB"/>
        </w:rPr>
        <w:t>ii)</w:t>
      </w:r>
      <w:r>
        <w:rPr>
          <w:lang w:val="ro-RO" w:eastAsia="en-GB"/>
        </w:rPr>
        <w:t xml:space="preserve"> </w:t>
      </w:r>
      <w:r w:rsidRPr="00054DEE">
        <w:rPr>
          <w:lang w:val="ro-RO" w:eastAsia="en-GB"/>
        </w:rPr>
        <w:t>463,98</w:t>
      </w:r>
      <w:r>
        <w:rPr>
          <w:lang w:val="ro-RO" w:eastAsia="en-GB"/>
        </w:rPr>
        <w:t xml:space="preserve"> </w:t>
      </w:r>
      <w:r w:rsidRPr="00054DEE">
        <w:rPr>
          <w:lang w:val="ro-RO" w:eastAsia="en-GB"/>
        </w:rPr>
        <w:t>EUR</w:t>
      </w:r>
      <w:r>
        <w:rPr>
          <w:lang w:val="ro-RO" w:eastAsia="en-GB"/>
        </w:rPr>
        <w:t xml:space="preserve"> </w:t>
      </w:r>
      <w:r w:rsidRPr="00054DEE">
        <w:rPr>
          <w:lang w:val="ro-RO" w:eastAsia="en-GB"/>
        </w:rPr>
        <w:t>(</w:t>
      </w:r>
      <w:r>
        <w:rPr>
          <w:lang w:val="ro-RO" w:eastAsia="en-GB"/>
        </w:rPr>
        <w:t>patru sute şaizeci şi trei de euro şi nouăzeci şi opt de cenţi</w:t>
      </w:r>
      <w:r w:rsidRPr="00054DEE">
        <w:rPr>
          <w:lang w:val="ro-RO" w:eastAsia="en-GB"/>
        </w:rPr>
        <w:t>),</w:t>
      </w:r>
      <w:r>
        <w:rPr>
          <w:lang w:val="ro-RO" w:eastAsia="en-GB"/>
        </w:rPr>
        <w:t xml:space="preserve"> </w:t>
      </w:r>
      <w:r w:rsidRPr="008753B0">
        <w:rPr>
          <w:lang w:val="ro-RO" w:eastAsia="en-GB"/>
        </w:rPr>
        <w:t>orice</w:t>
      </w:r>
      <w:r>
        <w:rPr>
          <w:lang w:val="ro-RO" w:eastAsia="en-GB"/>
        </w:rPr>
        <w:t xml:space="preserve"> </w:t>
      </w:r>
      <w:r w:rsidRPr="008753B0">
        <w:rPr>
          <w:lang w:val="ro-RO" w:eastAsia="en-GB"/>
        </w:rPr>
        <w:t>sumă</w:t>
      </w:r>
      <w:r>
        <w:rPr>
          <w:lang w:val="ro-RO" w:eastAsia="en-GB"/>
        </w:rPr>
        <w:t xml:space="preserve"> </w:t>
      </w:r>
      <w:r w:rsidRPr="008753B0">
        <w:rPr>
          <w:lang w:val="ro-RO" w:eastAsia="en-GB"/>
        </w:rPr>
        <w:t>care</w:t>
      </w:r>
      <w:r>
        <w:rPr>
          <w:lang w:val="ro-RO" w:eastAsia="en-GB"/>
        </w:rPr>
        <w:t xml:space="preserve"> </w:t>
      </w:r>
      <w:r w:rsidRPr="008753B0">
        <w:rPr>
          <w:lang w:val="ro-RO" w:eastAsia="en-GB"/>
        </w:rPr>
        <w:t>ar</w:t>
      </w:r>
      <w:r>
        <w:rPr>
          <w:lang w:val="ro-RO" w:eastAsia="en-GB"/>
        </w:rPr>
        <w:t xml:space="preserve"> </w:t>
      </w:r>
      <w:r w:rsidRPr="008753B0">
        <w:rPr>
          <w:lang w:val="ro-RO" w:eastAsia="en-GB"/>
        </w:rPr>
        <w:t>putea</w:t>
      </w:r>
      <w:r>
        <w:rPr>
          <w:lang w:val="ro-RO" w:eastAsia="en-GB"/>
        </w:rPr>
        <w:t xml:space="preserve"> </w:t>
      </w:r>
      <w:r w:rsidRPr="008753B0">
        <w:rPr>
          <w:lang w:val="ro-RO" w:eastAsia="en-GB"/>
        </w:rPr>
        <w:t>fi</w:t>
      </w:r>
      <w:r>
        <w:rPr>
          <w:lang w:val="ro-RO" w:eastAsia="en-GB"/>
        </w:rPr>
        <w:t xml:space="preserve"> </w:t>
      </w:r>
      <w:r w:rsidRPr="008753B0">
        <w:rPr>
          <w:lang w:val="ro-RO" w:eastAsia="en-GB"/>
        </w:rPr>
        <w:t>datorată</w:t>
      </w:r>
      <w:r>
        <w:rPr>
          <w:lang w:val="ro-RO" w:eastAsia="en-GB"/>
        </w:rPr>
        <w:t xml:space="preserve"> </w:t>
      </w:r>
      <w:r w:rsidRPr="008753B0">
        <w:rPr>
          <w:lang w:val="ro-RO" w:eastAsia="en-GB"/>
        </w:rPr>
        <w:t>cu</w:t>
      </w:r>
      <w:r>
        <w:rPr>
          <w:lang w:val="ro-RO" w:eastAsia="en-GB"/>
        </w:rPr>
        <w:t xml:space="preserve"> </w:t>
      </w:r>
      <w:r w:rsidRPr="008753B0">
        <w:rPr>
          <w:lang w:val="ro-RO" w:eastAsia="en-GB"/>
        </w:rPr>
        <w:t>titlu</w:t>
      </w:r>
      <w:r>
        <w:rPr>
          <w:lang w:val="ro-RO" w:eastAsia="en-GB"/>
        </w:rPr>
        <w:t xml:space="preserve"> </w:t>
      </w:r>
      <w:r w:rsidRPr="008753B0">
        <w:rPr>
          <w:lang w:val="ro-RO" w:eastAsia="en-GB"/>
        </w:rPr>
        <w:t>de</w:t>
      </w:r>
      <w:r>
        <w:rPr>
          <w:lang w:val="ro-RO" w:eastAsia="en-GB"/>
        </w:rPr>
        <w:t xml:space="preserve"> </w:t>
      </w:r>
      <w:r w:rsidRPr="008753B0">
        <w:rPr>
          <w:lang w:val="ro-RO" w:eastAsia="en-GB"/>
        </w:rPr>
        <w:t>impozit</w:t>
      </w:r>
      <w:r>
        <w:rPr>
          <w:lang w:val="ro-RO" w:eastAsia="en-GB"/>
        </w:rPr>
        <w:t xml:space="preserve"> de către reclamantă</w:t>
      </w:r>
      <w:r w:rsidRPr="00054DEE">
        <w:rPr>
          <w:lang w:val="ro-RO" w:eastAsia="en-GB"/>
        </w:rPr>
        <w:t>,</w:t>
      </w:r>
      <w:r>
        <w:rPr>
          <w:lang w:val="ro-RO" w:eastAsia="en-GB"/>
        </w:rPr>
        <w:t xml:space="preserve"> pentru costuri şi cheltuieli</w:t>
      </w:r>
      <w:r w:rsidRPr="00054DEE">
        <w:rPr>
          <w:lang w:val="ro-RO" w:eastAsia="en-GB"/>
        </w:rPr>
        <w:t>;</w:t>
      </w:r>
    </w:p>
    <w:p w:rsidR="00886CFB" w:rsidRPr="00054DEE" w:rsidRDefault="00886CFB" w:rsidP="00906B0E">
      <w:pPr>
        <w:pStyle w:val="JuLista"/>
        <w:rPr>
          <w:lang w:val="ro-RO"/>
        </w:rPr>
      </w:pPr>
      <w:r>
        <w:rPr>
          <w:lang w:val="ro-RO"/>
        </w:rPr>
        <w:t>b) că începând cu data de expirare a termenului mai sus menţionat şi până la efectuarea plăţii, aceste sume vor fi majorate cu o dobândă simplă al o rată egală cu cea a ratei facilităţii marginale de împrumut a Băncii C</w:t>
      </w:r>
      <w:r w:rsidRPr="00054DEE">
        <w:rPr>
          <w:lang w:val="ro-RO"/>
        </w:rPr>
        <w:t>entrale</w:t>
      </w:r>
      <w:r>
        <w:rPr>
          <w:lang w:val="ro-RO"/>
        </w:rPr>
        <w:t xml:space="preserve"> Europene a</w:t>
      </w:r>
      <w:r w:rsidRPr="00054DEE">
        <w:rPr>
          <w:lang w:val="ro-RO"/>
        </w:rPr>
        <w:t>plicab</w:t>
      </w:r>
      <w:r>
        <w:rPr>
          <w:lang w:val="ro-RO"/>
        </w:rPr>
        <w:t>i</w:t>
      </w:r>
      <w:r w:rsidRPr="00054DEE">
        <w:rPr>
          <w:lang w:val="ro-RO"/>
        </w:rPr>
        <w:t>le</w:t>
      </w:r>
      <w:r>
        <w:rPr>
          <w:lang w:val="ro-RO"/>
        </w:rPr>
        <w:t xml:space="preserve"> în această perioadă</w:t>
      </w:r>
      <w:r w:rsidRPr="00054DEE">
        <w:rPr>
          <w:lang w:val="ro-RO"/>
        </w:rPr>
        <w:t>,</w:t>
      </w:r>
      <w:r>
        <w:rPr>
          <w:lang w:val="ro-RO"/>
        </w:rPr>
        <w:t xml:space="preserve"> majorată cu trei puncte procentuale</w:t>
      </w:r>
      <w:r w:rsidRPr="00054DEE">
        <w:rPr>
          <w:lang w:val="ro-RO"/>
        </w:rPr>
        <w:t>;</w:t>
      </w:r>
    </w:p>
    <w:p w:rsidR="00886CFB" w:rsidRPr="00054DEE" w:rsidRDefault="00886CFB" w:rsidP="00906B0E">
      <w:pPr>
        <w:pStyle w:val="JuLista"/>
        <w:rPr>
          <w:lang w:val="ro-RO"/>
        </w:rPr>
      </w:pPr>
    </w:p>
    <w:p w:rsidR="00886CFB" w:rsidRPr="00054DEE" w:rsidRDefault="00886CFB" w:rsidP="00906B0E">
      <w:pPr>
        <w:pStyle w:val="JuList"/>
        <w:rPr>
          <w:lang w:val="ro-RO"/>
        </w:rPr>
      </w:pPr>
      <w:r w:rsidRPr="00054DEE">
        <w:rPr>
          <w:lang w:val="ro-RO"/>
        </w:rPr>
        <w:t>4.</w:t>
      </w:r>
      <w:r>
        <w:rPr>
          <w:lang w:val="ro-RO"/>
        </w:rPr>
        <w:t xml:space="preserve"> </w:t>
      </w:r>
      <w:r>
        <w:rPr>
          <w:i/>
          <w:lang w:val="ro-RO"/>
        </w:rPr>
        <w:t>Respinge</w:t>
      </w:r>
      <w:r>
        <w:rPr>
          <w:lang w:val="ro-RO"/>
        </w:rPr>
        <w:t xml:space="preserve"> cererea de satisfacţie echitabilă pentru </w:t>
      </w:r>
      <w:r w:rsidRPr="00054DEE">
        <w:rPr>
          <w:lang w:val="ro-RO"/>
        </w:rPr>
        <w:t>surplus.</w:t>
      </w:r>
    </w:p>
    <w:p w:rsidR="00886CFB" w:rsidRPr="00054DEE" w:rsidRDefault="00886CFB" w:rsidP="00906B0E">
      <w:pPr>
        <w:pStyle w:val="JuParaLast"/>
        <w:rPr>
          <w:lang w:val="ro-RO"/>
        </w:rPr>
      </w:pPr>
      <w:r>
        <w:rPr>
          <w:lang w:val="ro-RO"/>
        </w:rPr>
        <w:t xml:space="preserve">Redactat în limba franceză şi comunicată în scris pe data de </w:t>
      </w:r>
      <w:r w:rsidRPr="00054DEE">
        <w:rPr>
          <w:lang w:val="ro-RO"/>
        </w:rPr>
        <w:t>1</w:t>
      </w:r>
      <w:r>
        <w:rPr>
          <w:lang w:val="ro-RO"/>
        </w:rPr>
        <w:t xml:space="preserve"> decembrie </w:t>
      </w:r>
      <w:r w:rsidRPr="00054DEE">
        <w:rPr>
          <w:lang w:val="ro-RO"/>
        </w:rPr>
        <w:t>2015,</w:t>
      </w:r>
      <w:r>
        <w:rPr>
          <w:lang w:val="ro-RO"/>
        </w:rPr>
        <w:t xml:space="preserve"> în aplicarea articolului </w:t>
      </w:r>
      <w:r w:rsidRPr="00054DEE">
        <w:rPr>
          <w:lang w:val="ro-RO"/>
        </w:rPr>
        <w:t>77</w:t>
      </w:r>
      <w:r>
        <w:rPr>
          <w:lang w:val="ro-RO"/>
        </w:rPr>
        <w:t xml:space="preserve"> </w:t>
      </w:r>
      <w:r w:rsidRPr="00054DEE">
        <w:rPr>
          <w:lang w:val="ro-RO"/>
        </w:rPr>
        <w:t>§§</w:t>
      </w:r>
      <w:r>
        <w:rPr>
          <w:lang w:val="ro-RO"/>
        </w:rPr>
        <w:t xml:space="preserve"> </w:t>
      </w:r>
      <w:r w:rsidRPr="00054DEE">
        <w:rPr>
          <w:lang w:val="ro-RO"/>
        </w:rPr>
        <w:t>2</w:t>
      </w:r>
      <w:r>
        <w:rPr>
          <w:lang w:val="ro-RO"/>
        </w:rPr>
        <w:t xml:space="preserve"> şi </w:t>
      </w:r>
      <w:r w:rsidRPr="00054DEE">
        <w:rPr>
          <w:lang w:val="ro-RO"/>
        </w:rPr>
        <w:t>3</w:t>
      </w:r>
      <w:r>
        <w:rPr>
          <w:lang w:val="ro-RO"/>
        </w:rPr>
        <w:t xml:space="preserve"> </w:t>
      </w:r>
      <w:r w:rsidRPr="00054DEE">
        <w:rPr>
          <w:lang w:val="ro-RO"/>
        </w:rPr>
        <w:t>d</w:t>
      </w:r>
      <w:r>
        <w:rPr>
          <w:lang w:val="ro-RO"/>
        </w:rPr>
        <w:t>in regulamentul Curţii</w:t>
      </w:r>
      <w:r w:rsidRPr="00054DEE">
        <w:rPr>
          <w:lang w:val="ro-RO"/>
        </w:rPr>
        <w:t>.</w:t>
      </w:r>
    </w:p>
    <w:p w:rsidR="00886CFB" w:rsidRPr="00054DEE" w:rsidRDefault="00886CFB" w:rsidP="00906B0E">
      <w:pPr>
        <w:pStyle w:val="JuSigned"/>
        <w:keepNext/>
        <w:keepLines/>
        <w:tabs>
          <w:tab w:val="clear" w:pos="6407"/>
          <w:tab w:val="center" w:pos="6521"/>
        </w:tabs>
        <w:rPr>
          <w:lang w:val="ro-RO"/>
        </w:rPr>
      </w:pPr>
      <w:r w:rsidRPr="00054DEE">
        <w:rPr>
          <w:lang w:val="ro-RO"/>
        </w:rPr>
        <w:tab/>
        <w:t>Françoise</w:t>
      </w:r>
      <w:r>
        <w:rPr>
          <w:lang w:val="ro-RO"/>
        </w:rPr>
        <w:t xml:space="preserve"> </w:t>
      </w:r>
      <w:r w:rsidRPr="00054DEE">
        <w:rPr>
          <w:lang w:val="ro-RO"/>
        </w:rPr>
        <w:t>Elens-Passos</w:t>
      </w:r>
      <w:r w:rsidRPr="00054DEE">
        <w:rPr>
          <w:lang w:val="ro-RO"/>
        </w:rPr>
        <w:tab/>
      </w:r>
      <w:r w:rsidRPr="00054DEE">
        <w:rPr>
          <w:szCs w:val="24"/>
          <w:lang w:val="ro-RO"/>
        </w:rPr>
        <w:t>András</w:t>
      </w:r>
      <w:r>
        <w:rPr>
          <w:szCs w:val="24"/>
          <w:lang w:val="ro-RO"/>
        </w:rPr>
        <w:t xml:space="preserve"> </w:t>
      </w:r>
      <w:r w:rsidRPr="00054DEE">
        <w:rPr>
          <w:szCs w:val="24"/>
          <w:lang w:val="ro-RO"/>
        </w:rPr>
        <w:t>Sajó</w:t>
      </w:r>
      <w:r w:rsidRPr="00054DEE">
        <w:rPr>
          <w:lang w:val="ro-RO"/>
        </w:rPr>
        <w:br/>
      </w:r>
      <w:r w:rsidRPr="00054DEE">
        <w:rPr>
          <w:lang w:val="ro-RO"/>
        </w:rPr>
        <w:tab/>
      </w:r>
      <w:r>
        <w:rPr>
          <w:lang w:val="ro-RO"/>
        </w:rPr>
        <w:t>Grefieră</w:t>
      </w:r>
      <w:r w:rsidRPr="00054DEE">
        <w:rPr>
          <w:lang w:val="ro-RO"/>
        </w:rPr>
        <w:tab/>
        <w:t>Pr</w:t>
      </w:r>
      <w:r>
        <w:rPr>
          <w:lang w:val="ro-RO"/>
        </w:rPr>
        <w:t>eşedinte</w:t>
      </w:r>
    </w:p>
    <w:bookmarkEnd w:id="0"/>
    <w:bookmarkEnd w:id="1"/>
    <w:p w:rsidR="00886CFB" w:rsidRPr="00054DEE" w:rsidRDefault="00886CFB" w:rsidP="00906B0E">
      <w:pPr>
        <w:pStyle w:val="JuParaLast"/>
        <w:rPr>
          <w:lang w:val="ro-RO"/>
        </w:rPr>
      </w:pPr>
    </w:p>
    <w:sectPr w:rsidR="00886CFB" w:rsidRPr="00054DEE" w:rsidSect="00DD69E5">
      <w:headerReference w:type="even" r:id="rId10"/>
      <w:headerReference w:type="default" r:id="rId11"/>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CFB" w:rsidRDefault="00886CFB" w:rsidP="00E77CB3">
      <w:r>
        <w:separator/>
      </w:r>
    </w:p>
  </w:endnote>
  <w:endnote w:type="continuationSeparator" w:id="0">
    <w:p w:rsidR="00886CFB" w:rsidRDefault="00886CFB"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FB" w:rsidRPr="00150BFA" w:rsidRDefault="004C1F7F" w:rsidP="00D61DF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6" type="#_x0000_t75" style="width:60pt;height:49pt;visibility:visible">
          <v:imagedata r:id="rId1" o:title=""/>
        </v:shape>
      </w:pict>
    </w:r>
  </w:p>
  <w:p w:rsidR="00886CFB" w:rsidRDefault="00886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CFB" w:rsidRDefault="00886CFB" w:rsidP="00E77CB3">
      <w:r>
        <w:separator/>
      </w:r>
    </w:p>
  </w:footnote>
  <w:footnote w:type="continuationSeparator" w:id="0">
    <w:p w:rsidR="00886CFB" w:rsidRDefault="00886CFB"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FB" w:rsidRPr="00DD69E5" w:rsidRDefault="00886CFB" w:rsidP="00DD69E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FB" w:rsidRPr="00A45145" w:rsidRDefault="004C1F7F" w:rsidP="00D61DF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231pt;height:96pt;visibility:visible">
          <v:imagedata r:id="rId1" o:title=""/>
        </v:shape>
      </w:pict>
    </w:r>
  </w:p>
  <w:p w:rsidR="00886CFB" w:rsidRPr="003E25B1" w:rsidRDefault="00886CFB" w:rsidP="003E25B1">
    <w:pPr>
      <w:pStyle w:val="Header"/>
      <w:jc w:val="center"/>
      <w:rPr>
        <w:b/>
        <w:lang w:val="ro-RO"/>
      </w:rPr>
    </w:pPr>
    <w:r w:rsidRPr="003E25B1">
      <w:rPr>
        <w:b/>
      </w:rPr>
      <w:t>Curtea european</w:t>
    </w:r>
    <w:r w:rsidRPr="003E25B1">
      <w:rPr>
        <w:b/>
        <w:lang w:val="ro-RO"/>
      </w:rPr>
      <w:t>ă a drepturilor omului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FB" w:rsidRPr="00A64A73" w:rsidRDefault="00886CFB" w:rsidP="00C611D8">
    <w:pPr>
      <w:pStyle w:val="ECHRHeader"/>
      <w:rPr>
        <w:lang w:val="pt-PT"/>
      </w:rPr>
    </w:pPr>
    <w:r w:rsidRPr="00A64A73">
      <w:rPr>
        <w:rStyle w:val="PageNumber"/>
        <w:lang w:val="pt-PT"/>
      </w:rPr>
      <w:fldChar w:fldCharType="begin"/>
    </w:r>
    <w:r w:rsidRPr="00A64A73">
      <w:rPr>
        <w:rStyle w:val="PageNumber"/>
        <w:lang w:val="pt-PT"/>
      </w:rPr>
      <w:instrText xml:space="preserve"> PAGE </w:instrText>
    </w:r>
    <w:r w:rsidRPr="00A64A73">
      <w:rPr>
        <w:rStyle w:val="PageNumber"/>
        <w:lang w:val="pt-PT"/>
      </w:rPr>
      <w:fldChar w:fldCharType="separate"/>
    </w:r>
    <w:r w:rsidR="004C1F7F">
      <w:rPr>
        <w:rStyle w:val="PageNumber"/>
        <w:noProof/>
        <w:lang w:val="pt-PT"/>
      </w:rPr>
      <w:t>2</w:t>
    </w:r>
    <w:r w:rsidRPr="00A64A73">
      <w:rPr>
        <w:rStyle w:val="PageNumber"/>
        <w:lang w:val="pt-PT"/>
      </w:rPr>
      <w:fldChar w:fldCharType="end"/>
    </w:r>
    <w:r w:rsidRPr="00A64A73">
      <w:rPr>
        <w:rStyle w:val="PageNumber"/>
        <w:lang w:val="pt-PT"/>
      </w:rPr>
      <w:tab/>
    </w:r>
    <w:r>
      <w:rPr>
        <w:noProof/>
        <w:lang w:val="pt-PT"/>
      </w:rPr>
      <w:t>ARRÊT</w:t>
    </w:r>
    <w:r w:rsidRPr="00A64A73">
      <w:rPr>
        <w:lang w:val="pt-PT"/>
      </w:rPr>
      <w:t xml:space="preserve"> BRITO FERRINHO BEXIGA VILLA-NOVA c. PORTUGAL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FB" w:rsidRPr="00A64A73" w:rsidRDefault="00886CFB" w:rsidP="00C63990">
    <w:pPr>
      <w:pStyle w:val="ECHRHeader"/>
      <w:rPr>
        <w:lang w:val="pt-PT"/>
      </w:rPr>
    </w:pPr>
    <w:r w:rsidRPr="00C63990">
      <w:rPr>
        <w:lang w:val="fr-FR"/>
      </w:rPr>
      <w:tab/>
    </w:r>
    <w:r>
      <w:rPr>
        <w:noProof/>
        <w:lang w:val="pt-PT"/>
      </w:rPr>
      <w:t>HOTĂRÂREA ÎN CAZUL</w:t>
    </w:r>
    <w:r w:rsidRPr="00A64A73">
      <w:rPr>
        <w:lang w:val="pt-PT"/>
      </w:rPr>
      <w:t xml:space="preserve"> BRITO FERRINHO BEXIGA VILLA-NOVA </w:t>
    </w:r>
    <w:r>
      <w:rPr>
        <w:lang w:val="pt-PT"/>
      </w:rPr>
      <w:t>contra</w:t>
    </w:r>
    <w:r w:rsidRPr="00A64A73">
      <w:rPr>
        <w:lang w:val="pt-PT"/>
      </w:rPr>
      <w:t xml:space="preserve"> PORTUGAL</w:t>
    </w:r>
    <w:r w:rsidRPr="00A64A73">
      <w:rPr>
        <w:lang w:val="pt-PT"/>
      </w:rPr>
      <w:tab/>
    </w:r>
    <w:r w:rsidRPr="00A64A73">
      <w:rPr>
        <w:rStyle w:val="PageNumber"/>
        <w:lang w:val="pt-PT"/>
      </w:rPr>
      <w:fldChar w:fldCharType="begin"/>
    </w:r>
    <w:r w:rsidRPr="00A64A73">
      <w:rPr>
        <w:rStyle w:val="PageNumber"/>
        <w:lang w:val="pt-PT"/>
      </w:rPr>
      <w:instrText xml:space="preserve"> PAGE </w:instrText>
    </w:r>
    <w:r w:rsidRPr="00A64A73">
      <w:rPr>
        <w:rStyle w:val="PageNumber"/>
        <w:lang w:val="pt-PT"/>
      </w:rPr>
      <w:fldChar w:fldCharType="separate"/>
    </w:r>
    <w:r w:rsidR="004C1F7F">
      <w:rPr>
        <w:rStyle w:val="PageNumber"/>
        <w:noProof/>
        <w:lang w:val="pt-PT"/>
      </w:rPr>
      <w:t>1</w:t>
    </w:r>
    <w:r w:rsidRPr="00A64A73">
      <w:rPr>
        <w:rStyle w:val="PageNumber"/>
        <w:lang w:val="pt-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AA2222"/>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C189B28"/>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0C4301E"/>
    <w:lvl w:ilvl="0">
      <w:start w:val="1"/>
      <w:numFmt w:val="decimal"/>
      <w:pStyle w:val="ListBullet5"/>
      <w:lvlText w:val="%1."/>
      <w:lvlJc w:val="left"/>
      <w:pPr>
        <w:tabs>
          <w:tab w:val="num" w:pos="926"/>
        </w:tabs>
        <w:ind w:left="926" w:hanging="360"/>
      </w:pPr>
      <w:rPr>
        <w:rFonts w:cs="Times New Roman"/>
      </w:rPr>
    </w:lvl>
  </w:abstractNum>
  <w:abstractNum w:abstractNumId="3" w15:restartNumberingAfterBreak="0">
    <w:nsid w:val="FFFFFF7F"/>
    <w:multiLevelType w:val="singleLevel"/>
    <w:tmpl w:val="C7268F26"/>
    <w:lvl w:ilvl="0">
      <w:start w:val="1"/>
      <w:numFmt w:val="decimal"/>
      <w:pStyle w:val="ListBullet4"/>
      <w:lvlText w:val="%1."/>
      <w:lvlJc w:val="left"/>
      <w:pPr>
        <w:tabs>
          <w:tab w:val="num" w:pos="643"/>
        </w:tabs>
        <w:ind w:left="643" w:hanging="360"/>
      </w:pPr>
      <w:rPr>
        <w:rFonts w:cs="Times New Roman"/>
      </w:rPr>
    </w:lvl>
  </w:abstractNum>
  <w:abstractNum w:abstractNumId="4" w15:restartNumberingAfterBreak="0">
    <w:nsid w:val="FFFFFF80"/>
    <w:multiLevelType w:val="singleLevel"/>
    <w:tmpl w:val="CFA0A718"/>
    <w:lvl w:ilvl="0">
      <w:start w:val="1"/>
      <w:numFmt w:val="bullet"/>
      <w:pStyle w:val="ListBullet2"/>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268AD308"/>
    <w:lvl w:ilvl="0">
      <w:start w:val="1"/>
      <w:numFmt w:val="bullet"/>
      <w:pStyle w:val="ListNumber5"/>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0501D42"/>
    <w:lvl w:ilvl="0">
      <w:start w:val="1"/>
      <w:numFmt w:val="bullet"/>
      <w:pStyle w:val="ListNumber4"/>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DE43E0C"/>
    <w:lvl w:ilvl="0">
      <w:start w:val="1"/>
      <w:numFmt w:val="decimal"/>
      <w:pStyle w:val="ListBullet3"/>
      <w:lvlText w:val="%1."/>
      <w:lvlJc w:val="left"/>
      <w:pPr>
        <w:tabs>
          <w:tab w:val="num" w:pos="360"/>
        </w:tabs>
        <w:ind w:left="360" w:hanging="360"/>
      </w:pPr>
      <w:rPr>
        <w:rFonts w:cs="Times New Roman"/>
      </w:rPr>
    </w:lvl>
  </w:abstractNum>
  <w:abstractNum w:abstractNumId="8"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E8750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7063F06"/>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5D7306C"/>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8"/>
  </w:num>
  <w:num w:numId="2">
    <w:abstractNumId w:val="4"/>
  </w:num>
  <w:num w:numId="3">
    <w:abstractNumId w:val="7"/>
  </w:num>
  <w:num w:numId="4">
    <w:abstractNumId w:val="3"/>
  </w:num>
  <w:num w:numId="5">
    <w:abstractNumId w:val="2"/>
  </w:num>
  <w:num w:numId="6">
    <w:abstractNumId w:val="1"/>
  </w:num>
  <w:num w:numId="7">
    <w:abstractNumId w:val="0"/>
  </w:num>
  <w:num w:numId="8">
    <w:abstractNumId w:val="6"/>
  </w:num>
  <w:num w:numId="9">
    <w:abstractNumId w:val="5"/>
  </w:num>
  <w:num w:numId="10">
    <w:abstractNumId w:val="10"/>
  </w:num>
  <w:num w:numId="11">
    <w:abstractNumId w:val="9"/>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A64A73"/>
    <w:rsid w:val="000041F8"/>
    <w:rsid w:val="000042A8"/>
    <w:rsid w:val="00004308"/>
    <w:rsid w:val="000053A6"/>
    <w:rsid w:val="00005BF0"/>
    <w:rsid w:val="00007154"/>
    <w:rsid w:val="000103AE"/>
    <w:rsid w:val="00011D69"/>
    <w:rsid w:val="00012AD3"/>
    <w:rsid w:val="00015C2D"/>
    <w:rsid w:val="00015F00"/>
    <w:rsid w:val="00022C1D"/>
    <w:rsid w:val="00034987"/>
    <w:rsid w:val="00035C4A"/>
    <w:rsid w:val="000433FB"/>
    <w:rsid w:val="0004386B"/>
    <w:rsid w:val="000501EA"/>
    <w:rsid w:val="000531FF"/>
    <w:rsid w:val="00054DEE"/>
    <w:rsid w:val="000602DF"/>
    <w:rsid w:val="0006041E"/>
    <w:rsid w:val="00061B05"/>
    <w:rsid w:val="000632D5"/>
    <w:rsid w:val="000640A2"/>
    <w:rsid w:val="000644EE"/>
    <w:rsid w:val="00066A71"/>
    <w:rsid w:val="000677A8"/>
    <w:rsid w:val="000678D3"/>
    <w:rsid w:val="000850B1"/>
    <w:rsid w:val="00087160"/>
    <w:rsid w:val="000925AD"/>
    <w:rsid w:val="00093FC6"/>
    <w:rsid w:val="00095A97"/>
    <w:rsid w:val="000A24EB"/>
    <w:rsid w:val="000A6727"/>
    <w:rsid w:val="000B253A"/>
    <w:rsid w:val="000B40E3"/>
    <w:rsid w:val="000B6923"/>
    <w:rsid w:val="000B6DD8"/>
    <w:rsid w:val="000B7521"/>
    <w:rsid w:val="000C05B2"/>
    <w:rsid w:val="000C5F3C"/>
    <w:rsid w:val="000C6DCC"/>
    <w:rsid w:val="000D47AA"/>
    <w:rsid w:val="000D509B"/>
    <w:rsid w:val="000D5C59"/>
    <w:rsid w:val="000D721F"/>
    <w:rsid w:val="000E069B"/>
    <w:rsid w:val="000E0E82"/>
    <w:rsid w:val="000E1DC5"/>
    <w:rsid w:val="000E223F"/>
    <w:rsid w:val="000E734F"/>
    <w:rsid w:val="000E7D45"/>
    <w:rsid w:val="000F00EF"/>
    <w:rsid w:val="000F7851"/>
    <w:rsid w:val="000F7D7F"/>
    <w:rsid w:val="00104E23"/>
    <w:rsid w:val="001067C8"/>
    <w:rsid w:val="00111B0C"/>
    <w:rsid w:val="00120D6C"/>
    <w:rsid w:val="001257EC"/>
    <w:rsid w:val="00127F9C"/>
    <w:rsid w:val="00133C6A"/>
    <w:rsid w:val="00133D33"/>
    <w:rsid w:val="00134D64"/>
    <w:rsid w:val="00135A30"/>
    <w:rsid w:val="0013612C"/>
    <w:rsid w:val="00137FF6"/>
    <w:rsid w:val="00141650"/>
    <w:rsid w:val="00150BFA"/>
    <w:rsid w:val="00150DE1"/>
    <w:rsid w:val="00151D74"/>
    <w:rsid w:val="00152C86"/>
    <w:rsid w:val="0016174F"/>
    <w:rsid w:val="0016178E"/>
    <w:rsid w:val="00162A12"/>
    <w:rsid w:val="00162DDB"/>
    <w:rsid w:val="001639EC"/>
    <w:rsid w:val="00166530"/>
    <w:rsid w:val="00170CC2"/>
    <w:rsid w:val="00177A24"/>
    <w:rsid w:val="00177AD0"/>
    <w:rsid w:val="001832BD"/>
    <w:rsid w:val="001833AF"/>
    <w:rsid w:val="001943B5"/>
    <w:rsid w:val="00195134"/>
    <w:rsid w:val="001A145B"/>
    <w:rsid w:val="001A674C"/>
    <w:rsid w:val="001B02EB"/>
    <w:rsid w:val="001B3B24"/>
    <w:rsid w:val="001B6969"/>
    <w:rsid w:val="001C0F98"/>
    <w:rsid w:val="001C2A42"/>
    <w:rsid w:val="001C6906"/>
    <w:rsid w:val="001C786D"/>
    <w:rsid w:val="001D1284"/>
    <w:rsid w:val="001D151E"/>
    <w:rsid w:val="001D403F"/>
    <w:rsid w:val="001D63ED"/>
    <w:rsid w:val="001D7348"/>
    <w:rsid w:val="001E035B"/>
    <w:rsid w:val="001E0961"/>
    <w:rsid w:val="001E3EAE"/>
    <w:rsid w:val="001E6F32"/>
    <w:rsid w:val="001F0E94"/>
    <w:rsid w:val="001F2145"/>
    <w:rsid w:val="001F4E43"/>
    <w:rsid w:val="001F6262"/>
    <w:rsid w:val="001F67B0"/>
    <w:rsid w:val="001F789E"/>
    <w:rsid w:val="001F7B3D"/>
    <w:rsid w:val="00205F9F"/>
    <w:rsid w:val="00210338"/>
    <w:rsid w:val="002115FC"/>
    <w:rsid w:val="0021423C"/>
    <w:rsid w:val="002167AD"/>
    <w:rsid w:val="00217698"/>
    <w:rsid w:val="00217A48"/>
    <w:rsid w:val="00230D00"/>
    <w:rsid w:val="00231DF7"/>
    <w:rsid w:val="00231FD1"/>
    <w:rsid w:val="002339E0"/>
    <w:rsid w:val="00233CF8"/>
    <w:rsid w:val="0023575D"/>
    <w:rsid w:val="00235C83"/>
    <w:rsid w:val="00237148"/>
    <w:rsid w:val="0023726E"/>
    <w:rsid w:val="0024222D"/>
    <w:rsid w:val="00244B0E"/>
    <w:rsid w:val="00244F6C"/>
    <w:rsid w:val="002468B9"/>
    <w:rsid w:val="00247EB3"/>
    <w:rsid w:val="002532C5"/>
    <w:rsid w:val="00260C03"/>
    <w:rsid w:val="0026540E"/>
    <w:rsid w:val="00265425"/>
    <w:rsid w:val="00267B17"/>
    <w:rsid w:val="00275123"/>
    <w:rsid w:val="0027793E"/>
    <w:rsid w:val="00282240"/>
    <w:rsid w:val="00291379"/>
    <w:rsid w:val="002948AD"/>
    <w:rsid w:val="002A01CC"/>
    <w:rsid w:val="002A2079"/>
    <w:rsid w:val="002A61B1"/>
    <w:rsid w:val="002A663C"/>
    <w:rsid w:val="002A7B04"/>
    <w:rsid w:val="002B0F71"/>
    <w:rsid w:val="002B444B"/>
    <w:rsid w:val="002B5887"/>
    <w:rsid w:val="002C0E27"/>
    <w:rsid w:val="002C3040"/>
    <w:rsid w:val="002C7586"/>
    <w:rsid w:val="002D022D"/>
    <w:rsid w:val="002D24BB"/>
    <w:rsid w:val="002D3E94"/>
    <w:rsid w:val="002E02CB"/>
    <w:rsid w:val="002E1DBF"/>
    <w:rsid w:val="002F2AF7"/>
    <w:rsid w:val="002F401A"/>
    <w:rsid w:val="002F7E1C"/>
    <w:rsid w:val="00301A75"/>
    <w:rsid w:val="00301D9D"/>
    <w:rsid w:val="0030202C"/>
    <w:rsid w:val="00302F70"/>
    <w:rsid w:val="0030336F"/>
    <w:rsid w:val="0030375E"/>
    <w:rsid w:val="0030534E"/>
    <w:rsid w:val="00312A30"/>
    <w:rsid w:val="003130CC"/>
    <w:rsid w:val="003135D0"/>
    <w:rsid w:val="00320F72"/>
    <w:rsid w:val="0032463E"/>
    <w:rsid w:val="00326224"/>
    <w:rsid w:val="00337EE4"/>
    <w:rsid w:val="00340FFD"/>
    <w:rsid w:val="00342C35"/>
    <w:rsid w:val="0035057E"/>
    <w:rsid w:val="003506B1"/>
    <w:rsid w:val="00353694"/>
    <w:rsid w:val="00354F8C"/>
    <w:rsid w:val="00356AC7"/>
    <w:rsid w:val="003609FA"/>
    <w:rsid w:val="0036513B"/>
    <w:rsid w:val="003710C8"/>
    <w:rsid w:val="00371C90"/>
    <w:rsid w:val="003750BE"/>
    <w:rsid w:val="003829B5"/>
    <w:rsid w:val="003855AC"/>
    <w:rsid w:val="00385D40"/>
    <w:rsid w:val="00387B9D"/>
    <w:rsid w:val="0039100F"/>
    <w:rsid w:val="00391AC2"/>
    <w:rsid w:val="0039364F"/>
    <w:rsid w:val="003944DD"/>
    <w:rsid w:val="00396686"/>
    <w:rsid w:val="0039778E"/>
    <w:rsid w:val="003B2814"/>
    <w:rsid w:val="003B3E2D"/>
    <w:rsid w:val="003B4941"/>
    <w:rsid w:val="003C051F"/>
    <w:rsid w:val="003C5714"/>
    <w:rsid w:val="003C6B9F"/>
    <w:rsid w:val="003C6E2A"/>
    <w:rsid w:val="003D0299"/>
    <w:rsid w:val="003D21F0"/>
    <w:rsid w:val="003E25B1"/>
    <w:rsid w:val="003E43A8"/>
    <w:rsid w:val="003E6D80"/>
    <w:rsid w:val="003E7577"/>
    <w:rsid w:val="003F05FA"/>
    <w:rsid w:val="003F244A"/>
    <w:rsid w:val="003F30B8"/>
    <w:rsid w:val="003F4C45"/>
    <w:rsid w:val="003F5F7B"/>
    <w:rsid w:val="003F7D64"/>
    <w:rsid w:val="00414300"/>
    <w:rsid w:val="0041447D"/>
    <w:rsid w:val="00417A9B"/>
    <w:rsid w:val="00417C3E"/>
    <w:rsid w:val="004244DB"/>
    <w:rsid w:val="004247BF"/>
    <w:rsid w:val="0042554C"/>
    <w:rsid w:val="00425C67"/>
    <w:rsid w:val="00427E7A"/>
    <w:rsid w:val="00434EC4"/>
    <w:rsid w:val="0043645D"/>
    <w:rsid w:val="00436B73"/>
    <w:rsid w:val="00436C49"/>
    <w:rsid w:val="00441505"/>
    <w:rsid w:val="00442ADF"/>
    <w:rsid w:val="00444E8E"/>
    <w:rsid w:val="00445366"/>
    <w:rsid w:val="00447F5B"/>
    <w:rsid w:val="00451AD1"/>
    <w:rsid w:val="00453958"/>
    <w:rsid w:val="00461DB0"/>
    <w:rsid w:val="00463926"/>
    <w:rsid w:val="00464C9A"/>
    <w:rsid w:val="004741F5"/>
    <w:rsid w:val="00474F3D"/>
    <w:rsid w:val="00477E3A"/>
    <w:rsid w:val="00483E5F"/>
    <w:rsid w:val="00485FF9"/>
    <w:rsid w:val="004907F0"/>
    <w:rsid w:val="0049140B"/>
    <w:rsid w:val="004923A5"/>
    <w:rsid w:val="00495BC3"/>
    <w:rsid w:val="00496BFB"/>
    <w:rsid w:val="004A15C7"/>
    <w:rsid w:val="004B013B"/>
    <w:rsid w:val="004B112B"/>
    <w:rsid w:val="004C01E4"/>
    <w:rsid w:val="004C086C"/>
    <w:rsid w:val="004C1F56"/>
    <w:rsid w:val="004C1F7F"/>
    <w:rsid w:val="004C27BC"/>
    <w:rsid w:val="004C47A5"/>
    <w:rsid w:val="004D15F3"/>
    <w:rsid w:val="004D5311"/>
    <w:rsid w:val="004D5DCC"/>
    <w:rsid w:val="004E1B72"/>
    <w:rsid w:val="004F10AF"/>
    <w:rsid w:val="004F11A4"/>
    <w:rsid w:val="004F2389"/>
    <w:rsid w:val="004F2979"/>
    <w:rsid w:val="004F304D"/>
    <w:rsid w:val="004F61BE"/>
    <w:rsid w:val="004F66B1"/>
    <w:rsid w:val="00511C07"/>
    <w:rsid w:val="005173A6"/>
    <w:rsid w:val="00520BAA"/>
    <w:rsid w:val="005211D1"/>
    <w:rsid w:val="00525208"/>
    <w:rsid w:val="005257A5"/>
    <w:rsid w:val="005264C0"/>
    <w:rsid w:val="00526A8A"/>
    <w:rsid w:val="00531DF2"/>
    <w:rsid w:val="00535274"/>
    <w:rsid w:val="00541D3B"/>
    <w:rsid w:val="005442EE"/>
    <w:rsid w:val="00547353"/>
    <w:rsid w:val="005474E7"/>
    <w:rsid w:val="00547E81"/>
    <w:rsid w:val="005512A3"/>
    <w:rsid w:val="00551864"/>
    <w:rsid w:val="005578CE"/>
    <w:rsid w:val="00562781"/>
    <w:rsid w:val="0056486C"/>
    <w:rsid w:val="005671AC"/>
    <w:rsid w:val="0057271C"/>
    <w:rsid w:val="00572845"/>
    <w:rsid w:val="00574C83"/>
    <w:rsid w:val="0059258B"/>
    <w:rsid w:val="00592772"/>
    <w:rsid w:val="00593578"/>
    <w:rsid w:val="00593B55"/>
    <w:rsid w:val="0059574A"/>
    <w:rsid w:val="00596468"/>
    <w:rsid w:val="005A02CB"/>
    <w:rsid w:val="005A1B9B"/>
    <w:rsid w:val="005A2033"/>
    <w:rsid w:val="005A5510"/>
    <w:rsid w:val="005A6751"/>
    <w:rsid w:val="005B092E"/>
    <w:rsid w:val="005B152C"/>
    <w:rsid w:val="005B1EE0"/>
    <w:rsid w:val="005B2B24"/>
    <w:rsid w:val="005B4425"/>
    <w:rsid w:val="005B4B94"/>
    <w:rsid w:val="005C3EE8"/>
    <w:rsid w:val="005D34F9"/>
    <w:rsid w:val="005D4190"/>
    <w:rsid w:val="005D67A3"/>
    <w:rsid w:val="005D79AC"/>
    <w:rsid w:val="005E03A7"/>
    <w:rsid w:val="005E1DC4"/>
    <w:rsid w:val="005E1F99"/>
    <w:rsid w:val="005E2988"/>
    <w:rsid w:val="005E3085"/>
    <w:rsid w:val="005E37C6"/>
    <w:rsid w:val="005F51E1"/>
    <w:rsid w:val="00601A48"/>
    <w:rsid w:val="00611AC6"/>
    <w:rsid w:val="00611C80"/>
    <w:rsid w:val="00611DD0"/>
    <w:rsid w:val="0061505B"/>
    <w:rsid w:val="00620692"/>
    <w:rsid w:val="00621682"/>
    <w:rsid w:val="006241C0"/>
    <w:rsid w:val="006242CA"/>
    <w:rsid w:val="00627507"/>
    <w:rsid w:val="00633717"/>
    <w:rsid w:val="006344E1"/>
    <w:rsid w:val="00651474"/>
    <w:rsid w:val="0065298D"/>
    <w:rsid w:val="006545C4"/>
    <w:rsid w:val="006566BA"/>
    <w:rsid w:val="00661971"/>
    <w:rsid w:val="00661CE8"/>
    <w:rsid w:val="006623D9"/>
    <w:rsid w:val="0066550C"/>
    <w:rsid w:val="00667B26"/>
    <w:rsid w:val="006716F2"/>
    <w:rsid w:val="00675009"/>
    <w:rsid w:val="0068082D"/>
    <w:rsid w:val="00682BF2"/>
    <w:rsid w:val="00682D6C"/>
    <w:rsid w:val="006859CE"/>
    <w:rsid w:val="00691270"/>
    <w:rsid w:val="006943CC"/>
    <w:rsid w:val="00694A2E"/>
    <w:rsid w:val="00694BA8"/>
    <w:rsid w:val="006A037C"/>
    <w:rsid w:val="006A36F4"/>
    <w:rsid w:val="006A406F"/>
    <w:rsid w:val="006A4B64"/>
    <w:rsid w:val="006A4B6E"/>
    <w:rsid w:val="006A5D3A"/>
    <w:rsid w:val="006C1BCB"/>
    <w:rsid w:val="006C23D4"/>
    <w:rsid w:val="006C2599"/>
    <w:rsid w:val="006C64BE"/>
    <w:rsid w:val="006C7BB0"/>
    <w:rsid w:val="006D20A5"/>
    <w:rsid w:val="006D3237"/>
    <w:rsid w:val="006D3D33"/>
    <w:rsid w:val="006E1285"/>
    <w:rsid w:val="006E1BD6"/>
    <w:rsid w:val="006E2E37"/>
    <w:rsid w:val="006E3CF1"/>
    <w:rsid w:val="006E53C3"/>
    <w:rsid w:val="006E7E80"/>
    <w:rsid w:val="006F1B80"/>
    <w:rsid w:val="006F48CA"/>
    <w:rsid w:val="006F64DD"/>
    <w:rsid w:val="006F7813"/>
    <w:rsid w:val="0071061D"/>
    <w:rsid w:val="00711B9F"/>
    <w:rsid w:val="00715127"/>
    <w:rsid w:val="00715E8E"/>
    <w:rsid w:val="00722407"/>
    <w:rsid w:val="00723580"/>
    <w:rsid w:val="00723755"/>
    <w:rsid w:val="0072609B"/>
    <w:rsid w:val="007307C3"/>
    <w:rsid w:val="0073136C"/>
    <w:rsid w:val="00731F0F"/>
    <w:rsid w:val="00733250"/>
    <w:rsid w:val="007369E4"/>
    <w:rsid w:val="00737657"/>
    <w:rsid w:val="00741404"/>
    <w:rsid w:val="007449E5"/>
    <w:rsid w:val="00745997"/>
    <w:rsid w:val="00747FF0"/>
    <w:rsid w:val="00761FCB"/>
    <w:rsid w:val="00764D4E"/>
    <w:rsid w:val="00765A1F"/>
    <w:rsid w:val="007679D5"/>
    <w:rsid w:val="00775198"/>
    <w:rsid w:val="00775B6D"/>
    <w:rsid w:val="00776D68"/>
    <w:rsid w:val="00782CC7"/>
    <w:rsid w:val="007850EE"/>
    <w:rsid w:val="00785B95"/>
    <w:rsid w:val="00786D41"/>
    <w:rsid w:val="00790E96"/>
    <w:rsid w:val="00793366"/>
    <w:rsid w:val="007952DA"/>
    <w:rsid w:val="007A49A5"/>
    <w:rsid w:val="007A5C0A"/>
    <w:rsid w:val="007A6325"/>
    <w:rsid w:val="007A716F"/>
    <w:rsid w:val="007B270A"/>
    <w:rsid w:val="007B4B56"/>
    <w:rsid w:val="007B5B5D"/>
    <w:rsid w:val="007C0695"/>
    <w:rsid w:val="007C419A"/>
    <w:rsid w:val="007C4CC8"/>
    <w:rsid w:val="007C5426"/>
    <w:rsid w:val="007C5798"/>
    <w:rsid w:val="007D4832"/>
    <w:rsid w:val="007E21B2"/>
    <w:rsid w:val="007E285F"/>
    <w:rsid w:val="007E296F"/>
    <w:rsid w:val="007E2C4E"/>
    <w:rsid w:val="007E3ED4"/>
    <w:rsid w:val="007E48C2"/>
    <w:rsid w:val="007F1905"/>
    <w:rsid w:val="007F3C9F"/>
    <w:rsid w:val="007F5156"/>
    <w:rsid w:val="00801300"/>
    <w:rsid w:val="00801440"/>
    <w:rsid w:val="00802C64"/>
    <w:rsid w:val="00805E52"/>
    <w:rsid w:val="008061D0"/>
    <w:rsid w:val="00810B38"/>
    <w:rsid w:val="008204C7"/>
    <w:rsid w:val="00820992"/>
    <w:rsid w:val="00823602"/>
    <w:rsid w:val="0082402A"/>
    <w:rsid w:val="008255F5"/>
    <w:rsid w:val="00827EC4"/>
    <w:rsid w:val="0083014E"/>
    <w:rsid w:val="0083214A"/>
    <w:rsid w:val="00834220"/>
    <w:rsid w:val="0084351A"/>
    <w:rsid w:val="00843CBA"/>
    <w:rsid w:val="00845723"/>
    <w:rsid w:val="00850C19"/>
    <w:rsid w:val="00851EF9"/>
    <w:rsid w:val="008577FD"/>
    <w:rsid w:val="00860B03"/>
    <w:rsid w:val="0086497A"/>
    <w:rsid w:val="008713A1"/>
    <w:rsid w:val="008738AB"/>
    <w:rsid w:val="008753B0"/>
    <w:rsid w:val="008754AB"/>
    <w:rsid w:val="0088060C"/>
    <w:rsid w:val="00881371"/>
    <w:rsid w:val="00886CFB"/>
    <w:rsid w:val="00893576"/>
    <w:rsid w:val="00893E73"/>
    <w:rsid w:val="008B02DC"/>
    <w:rsid w:val="008B57CE"/>
    <w:rsid w:val="008B7A4E"/>
    <w:rsid w:val="008C21E8"/>
    <w:rsid w:val="008C26DE"/>
    <w:rsid w:val="008C53CF"/>
    <w:rsid w:val="008D2225"/>
    <w:rsid w:val="008D4752"/>
    <w:rsid w:val="008D6CC9"/>
    <w:rsid w:val="008D7298"/>
    <w:rsid w:val="008E271C"/>
    <w:rsid w:val="008E418E"/>
    <w:rsid w:val="008E46DA"/>
    <w:rsid w:val="008E4F77"/>
    <w:rsid w:val="008E5BC6"/>
    <w:rsid w:val="008E6A25"/>
    <w:rsid w:val="008F05CA"/>
    <w:rsid w:val="008F1252"/>
    <w:rsid w:val="008F2108"/>
    <w:rsid w:val="008F5193"/>
    <w:rsid w:val="008F7A0A"/>
    <w:rsid w:val="009013A7"/>
    <w:rsid w:val="009017FB"/>
    <w:rsid w:val="009017FC"/>
    <w:rsid w:val="0090506B"/>
    <w:rsid w:val="009050C9"/>
    <w:rsid w:val="009066FC"/>
    <w:rsid w:val="00906B0E"/>
    <w:rsid w:val="009136FE"/>
    <w:rsid w:val="009140A3"/>
    <w:rsid w:val="009144A2"/>
    <w:rsid w:val="00914E31"/>
    <w:rsid w:val="0091510C"/>
    <w:rsid w:val="00922FCF"/>
    <w:rsid w:val="00924666"/>
    <w:rsid w:val="009259AC"/>
    <w:rsid w:val="00926AD5"/>
    <w:rsid w:val="00926F38"/>
    <w:rsid w:val="00934301"/>
    <w:rsid w:val="00936C2D"/>
    <w:rsid w:val="00936CD1"/>
    <w:rsid w:val="00940A29"/>
    <w:rsid w:val="00941747"/>
    <w:rsid w:val="00941EFB"/>
    <w:rsid w:val="00947AFB"/>
    <w:rsid w:val="00951B59"/>
    <w:rsid w:val="00951D7D"/>
    <w:rsid w:val="00954516"/>
    <w:rsid w:val="0095541D"/>
    <w:rsid w:val="0095558C"/>
    <w:rsid w:val="009630C7"/>
    <w:rsid w:val="00967FE6"/>
    <w:rsid w:val="00972B55"/>
    <w:rsid w:val="0097323D"/>
    <w:rsid w:val="009743B7"/>
    <w:rsid w:val="0097766C"/>
    <w:rsid w:val="00981E1B"/>
    <w:rsid w:val="0098228B"/>
    <w:rsid w:val="009828DA"/>
    <w:rsid w:val="00985BAB"/>
    <w:rsid w:val="0099650A"/>
    <w:rsid w:val="00997238"/>
    <w:rsid w:val="009B1B5F"/>
    <w:rsid w:val="009B1CF6"/>
    <w:rsid w:val="009B4EB3"/>
    <w:rsid w:val="009B554E"/>
    <w:rsid w:val="009B5D5D"/>
    <w:rsid w:val="009B6673"/>
    <w:rsid w:val="009C191B"/>
    <w:rsid w:val="009C2BD6"/>
    <w:rsid w:val="009C5284"/>
    <w:rsid w:val="009C7C2F"/>
    <w:rsid w:val="009E1F32"/>
    <w:rsid w:val="009E2375"/>
    <w:rsid w:val="009E776C"/>
    <w:rsid w:val="009F13F2"/>
    <w:rsid w:val="009F63DB"/>
    <w:rsid w:val="00A00144"/>
    <w:rsid w:val="00A02068"/>
    <w:rsid w:val="00A064FD"/>
    <w:rsid w:val="00A114B2"/>
    <w:rsid w:val="00A114EA"/>
    <w:rsid w:val="00A14727"/>
    <w:rsid w:val="00A15056"/>
    <w:rsid w:val="00A1726E"/>
    <w:rsid w:val="00A204CF"/>
    <w:rsid w:val="00A2123B"/>
    <w:rsid w:val="00A2246C"/>
    <w:rsid w:val="00A227B0"/>
    <w:rsid w:val="00A23D49"/>
    <w:rsid w:val="00A27004"/>
    <w:rsid w:val="00A30C29"/>
    <w:rsid w:val="00A34DD6"/>
    <w:rsid w:val="00A36819"/>
    <w:rsid w:val="00A36989"/>
    <w:rsid w:val="00A41764"/>
    <w:rsid w:val="00A43308"/>
    <w:rsid w:val="00A43628"/>
    <w:rsid w:val="00A45145"/>
    <w:rsid w:val="00A54192"/>
    <w:rsid w:val="00A6035E"/>
    <w:rsid w:val="00A6144C"/>
    <w:rsid w:val="00A64A73"/>
    <w:rsid w:val="00A66617"/>
    <w:rsid w:val="00A671F8"/>
    <w:rsid w:val="00A673A4"/>
    <w:rsid w:val="00A724AE"/>
    <w:rsid w:val="00A73329"/>
    <w:rsid w:val="00A74BC1"/>
    <w:rsid w:val="00A74D4F"/>
    <w:rsid w:val="00A82359"/>
    <w:rsid w:val="00A865D2"/>
    <w:rsid w:val="00A94C20"/>
    <w:rsid w:val="00A94C69"/>
    <w:rsid w:val="00AA227F"/>
    <w:rsid w:val="00AA2B95"/>
    <w:rsid w:val="00AA3BC7"/>
    <w:rsid w:val="00AA58EB"/>
    <w:rsid w:val="00AA754A"/>
    <w:rsid w:val="00AB099E"/>
    <w:rsid w:val="00AB4328"/>
    <w:rsid w:val="00AB6CBD"/>
    <w:rsid w:val="00AC0824"/>
    <w:rsid w:val="00AC1BEF"/>
    <w:rsid w:val="00AD0260"/>
    <w:rsid w:val="00AD412E"/>
    <w:rsid w:val="00AD550C"/>
    <w:rsid w:val="00AD7CF2"/>
    <w:rsid w:val="00AE0A2E"/>
    <w:rsid w:val="00AE354C"/>
    <w:rsid w:val="00AF09B1"/>
    <w:rsid w:val="00AF35EF"/>
    <w:rsid w:val="00AF4B07"/>
    <w:rsid w:val="00AF6186"/>
    <w:rsid w:val="00AF6954"/>
    <w:rsid w:val="00AF77DE"/>
    <w:rsid w:val="00AF7A3A"/>
    <w:rsid w:val="00B160DB"/>
    <w:rsid w:val="00B20836"/>
    <w:rsid w:val="00B235BB"/>
    <w:rsid w:val="00B25A73"/>
    <w:rsid w:val="00B27A44"/>
    <w:rsid w:val="00B30BBF"/>
    <w:rsid w:val="00B33C03"/>
    <w:rsid w:val="00B3767C"/>
    <w:rsid w:val="00B44E56"/>
    <w:rsid w:val="00B46543"/>
    <w:rsid w:val="00B46D03"/>
    <w:rsid w:val="00B47D33"/>
    <w:rsid w:val="00B51396"/>
    <w:rsid w:val="00B52BE0"/>
    <w:rsid w:val="00B54133"/>
    <w:rsid w:val="00B54F2C"/>
    <w:rsid w:val="00B6004B"/>
    <w:rsid w:val="00B6011D"/>
    <w:rsid w:val="00B60ABD"/>
    <w:rsid w:val="00B61DCD"/>
    <w:rsid w:val="00B701ED"/>
    <w:rsid w:val="00B74BAF"/>
    <w:rsid w:val="00B75D6E"/>
    <w:rsid w:val="00B77A12"/>
    <w:rsid w:val="00B8086C"/>
    <w:rsid w:val="00B861B4"/>
    <w:rsid w:val="00B86DFE"/>
    <w:rsid w:val="00B87A73"/>
    <w:rsid w:val="00B90990"/>
    <w:rsid w:val="00B922FF"/>
    <w:rsid w:val="00B9281E"/>
    <w:rsid w:val="00B93925"/>
    <w:rsid w:val="00B93ECF"/>
    <w:rsid w:val="00B95187"/>
    <w:rsid w:val="00B9776F"/>
    <w:rsid w:val="00BA2D55"/>
    <w:rsid w:val="00BA6BE0"/>
    <w:rsid w:val="00BA71B1"/>
    <w:rsid w:val="00BB0637"/>
    <w:rsid w:val="00BB345F"/>
    <w:rsid w:val="00BB68EA"/>
    <w:rsid w:val="00BC1C27"/>
    <w:rsid w:val="00BC4A8F"/>
    <w:rsid w:val="00BC5EE1"/>
    <w:rsid w:val="00BC6BBF"/>
    <w:rsid w:val="00BD1572"/>
    <w:rsid w:val="00BD27F4"/>
    <w:rsid w:val="00BE079D"/>
    <w:rsid w:val="00BE1423"/>
    <w:rsid w:val="00BE14E3"/>
    <w:rsid w:val="00BE3774"/>
    <w:rsid w:val="00BE41E5"/>
    <w:rsid w:val="00BE5A5A"/>
    <w:rsid w:val="00BE65CF"/>
    <w:rsid w:val="00BF24B7"/>
    <w:rsid w:val="00BF4109"/>
    <w:rsid w:val="00BF4CC3"/>
    <w:rsid w:val="00BF588D"/>
    <w:rsid w:val="00C054C7"/>
    <w:rsid w:val="00C057B5"/>
    <w:rsid w:val="00C06E15"/>
    <w:rsid w:val="00C116DA"/>
    <w:rsid w:val="00C1262B"/>
    <w:rsid w:val="00C14197"/>
    <w:rsid w:val="00C22687"/>
    <w:rsid w:val="00C32E4D"/>
    <w:rsid w:val="00C333A0"/>
    <w:rsid w:val="00C36408"/>
    <w:rsid w:val="00C36A81"/>
    <w:rsid w:val="00C40561"/>
    <w:rsid w:val="00C41974"/>
    <w:rsid w:val="00C43022"/>
    <w:rsid w:val="00C445C2"/>
    <w:rsid w:val="00C53F4A"/>
    <w:rsid w:val="00C54125"/>
    <w:rsid w:val="00C54294"/>
    <w:rsid w:val="00C55039"/>
    <w:rsid w:val="00C55B54"/>
    <w:rsid w:val="00C6001E"/>
    <w:rsid w:val="00C6098E"/>
    <w:rsid w:val="00C611D8"/>
    <w:rsid w:val="00C6152C"/>
    <w:rsid w:val="00C63990"/>
    <w:rsid w:val="00C64EF6"/>
    <w:rsid w:val="00C65050"/>
    <w:rsid w:val="00C6643D"/>
    <w:rsid w:val="00C723AA"/>
    <w:rsid w:val="00C74810"/>
    <w:rsid w:val="00C8505F"/>
    <w:rsid w:val="00C9061E"/>
    <w:rsid w:val="00C90D68"/>
    <w:rsid w:val="00C939FE"/>
    <w:rsid w:val="00C93CA7"/>
    <w:rsid w:val="00CA4BDA"/>
    <w:rsid w:val="00CB1F66"/>
    <w:rsid w:val="00CB25E8"/>
    <w:rsid w:val="00CB2951"/>
    <w:rsid w:val="00CC3FE5"/>
    <w:rsid w:val="00CC71E6"/>
    <w:rsid w:val="00CC740F"/>
    <w:rsid w:val="00CD23A0"/>
    <w:rsid w:val="00CD282B"/>
    <w:rsid w:val="00CD2BDE"/>
    <w:rsid w:val="00CD4C35"/>
    <w:rsid w:val="00CD7369"/>
    <w:rsid w:val="00CE0B0E"/>
    <w:rsid w:val="00CE0BE6"/>
    <w:rsid w:val="00CE0ECA"/>
    <w:rsid w:val="00CE3831"/>
    <w:rsid w:val="00CE503B"/>
    <w:rsid w:val="00CE5CAD"/>
    <w:rsid w:val="00D00ABB"/>
    <w:rsid w:val="00D02EEC"/>
    <w:rsid w:val="00D03551"/>
    <w:rsid w:val="00D06A63"/>
    <w:rsid w:val="00D07E0E"/>
    <w:rsid w:val="00D11478"/>
    <w:rsid w:val="00D13EF4"/>
    <w:rsid w:val="00D15211"/>
    <w:rsid w:val="00D15ED0"/>
    <w:rsid w:val="00D21B3E"/>
    <w:rsid w:val="00D21FED"/>
    <w:rsid w:val="00D24251"/>
    <w:rsid w:val="00D250D7"/>
    <w:rsid w:val="00D32694"/>
    <w:rsid w:val="00D343E2"/>
    <w:rsid w:val="00D361A2"/>
    <w:rsid w:val="00D375CA"/>
    <w:rsid w:val="00D37C1F"/>
    <w:rsid w:val="00D42AFF"/>
    <w:rsid w:val="00D43FDD"/>
    <w:rsid w:val="00D44C2E"/>
    <w:rsid w:val="00D45414"/>
    <w:rsid w:val="00D566BD"/>
    <w:rsid w:val="00D576CF"/>
    <w:rsid w:val="00D57A4D"/>
    <w:rsid w:val="00D60AA7"/>
    <w:rsid w:val="00D61DF8"/>
    <w:rsid w:val="00D6435F"/>
    <w:rsid w:val="00D64455"/>
    <w:rsid w:val="00D70B69"/>
    <w:rsid w:val="00D75E28"/>
    <w:rsid w:val="00D772C2"/>
    <w:rsid w:val="00D8008E"/>
    <w:rsid w:val="00D82C45"/>
    <w:rsid w:val="00D908A8"/>
    <w:rsid w:val="00D90FC2"/>
    <w:rsid w:val="00D96C76"/>
    <w:rsid w:val="00D977B6"/>
    <w:rsid w:val="00DA1364"/>
    <w:rsid w:val="00DA3F14"/>
    <w:rsid w:val="00DA4A31"/>
    <w:rsid w:val="00DA683C"/>
    <w:rsid w:val="00DA7B04"/>
    <w:rsid w:val="00DB36C2"/>
    <w:rsid w:val="00DB54A3"/>
    <w:rsid w:val="00DB6EF6"/>
    <w:rsid w:val="00DC169B"/>
    <w:rsid w:val="00DC26F3"/>
    <w:rsid w:val="00DC2AB9"/>
    <w:rsid w:val="00DC63F0"/>
    <w:rsid w:val="00DD4AAB"/>
    <w:rsid w:val="00DD5146"/>
    <w:rsid w:val="00DD69E5"/>
    <w:rsid w:val="00DD6EE5"/>
    <w:rsid w:val="00DE1575"/>
    <w:rsid w:val="00DE386C"/>
    <w:rsid w:val="00DE4D35"/>
    <w:rsid w:val="00DE5B13"/>
    <w:rsid w:val="00DF080B"/>
    <w:rsid w:val="00DF098B"/>
    <w:rsid w:val="00DF11C4"/>
    <w:rsid w:val="00DF210C"/>
    <w:rsid w:val="00DF2EF9"/>
    <w:rsid w:val="00DF4B6A"/>
    <w:rsid w:val="00E01E65"/>
    <w:rsid w:val="00E02475"/>
    <w:rsid w:val="00E02C09"/>
    <w:rsid w:val="00E04547"/>
    <w:rsid w:val="00E04D59"/>
    <w:rsid w:val="00E07DA1"/>
    <w:rsid w:val="00E07FF2"/>
    <w:rsid w:val="00E123CB"/>
    <w:rsid w:val="00E12B93"/>
    <w:rsid w:val="00E15D0C"/>
    <w:rsid w:val="00E20E13"/>
    <w:rsid w:val="00E21DBC"/>
    <w:rsid w:val="00E23977"/>
    <w:rsid w:val="00E275D7"/>
    <w:rsid w:val="00E27DBE"/>
    <w:rsid w:val="00E3124C"/>
    <w:rsid w:val="00E32630"/>
    <w:rsid w:val="00E32AB1"/>
    <w:rsid w:val="00E33905"/>
    <w:rsid w:val="00E36C71"/>
    <w:rsid w:val="00E40404"/>
    <w:rsid w:val="00E40595"/>
    <w:rsid w:val="00E431F1"/>
    <w:rsid w:val="00E4529A"/>
    <w:rsid w:val="00E459C6"/>
    <w:rsid w:val="00E47589"/>
    <w:rsid w:val="00E54F3E"/>
    <w:rsid w:val="00E558B6"/>
    <w:rsid w:val="00E648D9"/>
    <w:rsid w:val="00E64915"/>
    <w:rsid w:val="00E661D4"/>
    <w:rsid w:val="00E70091"/>
    <w:rsid w:val="00E720F5"/>
    <w:rsid w:val="00E76D47"/>
    <w:rsid w:val="00E77CB3"/>
    <w:rsid w:val="00E849F7"/>
    <w:rsid w:val="00E90302"/>
    <w:rsid w:val="00E96117"/>
    <w:rsid w:val="00E97396"/>
    <w:rsid w:val="00EA185E"/>
    <w:rsid w:val="00EA592A"/>
    <w:rsid w:val="00EB14E4"/>
    <w:rsid w:val="00EB32A5"/>
    <w:rsid w:val="00EB34ED"/>
    <w:rsid w:val="00EB4669"/>
    <w:rsid w:val="00EB7BE0"/>
    <w:rsid w:val="00EB7E63"/>
    <w:rsid w:val="00EC315E"/>
    <w:rsid w:val="00ED077C"/>
    <w:rsid w:val="00ED1190"/>
    <w:rsid w:val="00ED38DC"/>
    <w:rsid w:val="00ED5B65"/>
    <w:rsid w:val="00ED6544"/>
    <w:rsid w:val="00EE0277"/>
    <w:rsid w:val="00EE3E00"/>
    <w:rsid w:val="00EE5DD2"/>
    <w:rsid w:val="00EF5B97"/>
    <w:rsid w:val="00EF63C2"/>
    <w:rsid w:val="00F00A79"/>
    <w:rsid w:val="00F00E86"/>
    <w:rsid w:val="00F060DC"/>
    <w:rsid w:val="00F0770B"/>
    <w:rsid w:val="00F07C1E"/>
    <w:rsid w:val="00F105DB"/>
    <w:rsid w:val="00F132BC"/>
    <w:rsid w:val="00F13773"/>
    <w:rsid w:val="00F13D80"/>
    <w:rsid w:val="00F16AAA"/>
    <w:rsid w:val="00F17249"/>
    <w:rsid w:val="00F21161"/>
    <w:rsid w:val="00F218EF"/>
    <w:rsid w:val="00F21BC7"/>
    <w:rsid w:val="00F23863"/>
    <w:rsid w:val="00F23C3F"/>
    <w:rsid w:val="00F266A2"/>
    <w:rsid w:val="00F32269"/>
    <w:rsid w:val="00F34207"/>
    <w:rsid w:val="00F46ACC"/>
    <w:rsid w:val="00F519F9"/>
    <w:rsid w:val="00F538C1"/>
    <w:rsid w:val="00F56A6F"/>
    <w:rsid w:val="00F5709C"/>
    <w:rsid w:val="00F62435"/>
    <w:rsid w:val="00F63378"/>
    <w:rsid w:val="00F64719"/>
    <w:rsid w:val="00F64EF1"/>
    <w:rsid w:val="00F65C67"/>
    <w:rsid w:val="00F65CF2"/>
    <w:rsid w:val="00F73C0A"/>
    <w:rsid w:val="00F74F17"/>
    <w:rsid w:val="00F83982"/>
    <w:rsid w:val="00F8765F"/>
    <w:rsid w:val="00F87840"/>
    <w:rsid w:val="00F90767"/>
    <w:rsid w:val="00FA426C"/>
    <w:rsid w:val="00FA685B"/>
    <w:rsid w:val="00FB0756"/>
    <w:rsid w:val="00FB0C01"/>
    <w:rsid w:val="00FB2B45"/>
    <w:rsid w:val="00FB2BA8"/>
    <w:rsid w:val="00FB7748"/>
    <w:rsid w:val="00FC18F2"/>
    <w:rsid w:val="00FC39E5"/>
    <w:rsid w:val="00FC3A78"/>
    <w:rsid w:val="00FD1005"/>
    <w:rsid w:val="00FD30C4"/>
    <w:rsid w:val="00FD54B8"/>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B1"/>
    <w:pPr>
      <w:jc w:val="both"/>
    </w:pPr>
    <w:rPr>
      <w:rFonts w:eastAsia="MS Mincho"/>
      <w:sz w:val="24"/>
      <w:lang w:eastAsia="en-US"/>
    </w:rPr>
  </w:style>
  <w:style w:type="paragraph" w:styleId="Heading1">
    <w:name w:val="heading 1"/>
    <w:basedOn w:val="Normal"/>
    <w:next w:val="Normal"/>
    <w:link w:val="Heading1Char"/>
    <w:uiPriority w:val="99"/>
    <w:qFormat/>
    <w:rsid w:val="00D64455"/>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D64455"/>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D64455"/>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D64455"/>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0850B1"/>
    <w:pPr>
      <w:spacing w:before="200"/>
      <w:outlineLvl w:val="4"/>
    </w:pPr>
    <w:rPr>
      <w:rFonts w:eastAsia="MS Gothic"/>
      <w:b/>
      <w:bCs/>
      <w:color w:val="808080"/>
      <w:sz w:val="22"/>
    </w:rPr>
  </w:style>
  <w:style w:type="paragraph" w:styleId="Heading6">
    <w:name w:val="heading 6"/>
    <w:basedOn w:val="Normal"/>
    <w:next w:val="Normal"/>
    <w:link w:val="Heading6Char"/>
    <w:uiPriority w:val="99"/>
    <w:qFormat/>
    <w:rsid w:val="00D64455"/>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0850B1"/>
    <w:pPr>
      <w:outlineLvl w:val="6"/>
    </w:pPr>
    <w:rPr>
      <w:rFonts w:eastAsia="MS Gothic"/>
      <w:i/>
      <w:iCs/>
      <w:sz w:val="22"/>
    </w:rPr>
  </w:style>
  <w:style w:type="paragraph" w:styleId="Heading8">
    <w:name w:val="heading 8"/>
    <w:basedOn w:val="Normal"/>
    <w:next w:val="Normal"/>
    <w:link w:val="Heading8Char"/>
    <w:uiPriority w:val="99"/>
    <w:qFormat/>
    <w:rsid w:val="000850B1"/>
    <w:pPr>
      <w:outlineLvl w:val="7"/>
    </w:pPr>
    <w:rPr>
      <w:rFonts w:eastAsia="MS Gothic"/>
      <w:sz w:val="20"/>
      <w:szCs w:val="20"/>
    </w:rPr>
  </w:style>
  <w:style w:type="paragraph" w:styleId="Heading9">
    <w:name w:val="heading 9"/>
    <w:basedOn w:val="Normal"/>
    <w:next w:val="Normal"/>
    <w:link w:val="Heading9Char"/>
    <w:uiPriority w:val="99"/>
    <w:qFormat/>
    <w:rsid w:val="000850B1"/>
    <w:pPr>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64455"/>
    <w:rPr>
      <w:rFonts w:ascii="Times New Roman" w:eastAsia="MS Gothic"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D64455"/>
    <w:rPr>
      <w:rFonts w:ascii="Times New Roman" w:eastAsia="MS Gothic"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D64455"/>
    <w:rPr>
      <w:rFonts w:ascii="Times New Roman" w:eastAsia="MS Gothic" w:hAnsi="Times New Roman" w:cs="Times New Roman"/>
      <w:b/>
      <w:bCs/>
      <w:color w:val="5F5F5F"/>
      <w:sz w:val="24"/>
    </w:rPr>
  </w:style>
  <w:style w:type="character" w:customStyle="1" w:styleId="Heading4Char">
    <w:name w:val="Heading 4 Char"/>
    <w:basedOn w:val="DefaultParagraphFont"/>
    <w:link w:val="Heading4"/>
    <w:uiPriority w:val="99"/>
    <w:semiHidden/>
    <w:locked/>
    <w:rsid w:val="00D64455"/>
    <w:rPr>
      <w:rFonts w:ascii="Times New Roman" w:eastAsia="MS Gothic" w:hAnsi="Times New Roman" w:cs="Times New Roman"/>
      <w:b/>
      <w:bCs/>
      <w:i/>
      <w:iCs/>
      <w:color w:val="777777"/>
      <w:sz w:val="24"/>
    </w:rPr>
  </w:style>
  <w:style w:type="character" w:customStyle="1" w:styleId="Heading5Char">
    <w:name w:val="Heading 5 Char"/>
    <w:basedOn w:val="DefaultParagraphFont"/>
    <w:link w:val="Heading5"/>
    <w:uiPriority w:val="99"/>
    <w:semiHidden/>
    <w:locked/>
    <w:rsid w:val="000850B1"/>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D64455"/>
    <w:rPr>
      <w:rFonts w:ascii="Times New Roman" w:eastAsia="MS Gothic" w:hAnsi="Times New Roman" w:cs="Times New Roman"/>
      <w:b/>
      <w:bCs/>
      <w:i/>
      <w:iCs/>
      <w:color w:val="7F7F7F"/>
      <w:sz w:val="24"/>
    </w:rPr>
  </w:style>
  <w:style w:type="character" w:customStyle="1" w:styleId="Heading7Char">
    <w:name w:val="Heading 7 Char"/>
    <w:basedOn w:val="DefaultParagraphFont"/>
    <w:link w:val="Heading7"/>
    <w:uiPriority w:val="99"/>
    <w:semiHidden/>
    <w:locked/>
    <w:rsid w:val="000850B1"/>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0850B1"/>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0850B1"/>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D64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4455"/>
    <w:rPr>
      <w:rFonts w:ascii="Tahoma" w:eastAsia="MS Mincho" w:hAnsi="Tahoma" w:cs="Tahoma"/>
      <w:sz w:val="16"/>
      <w:szCs w:val="16"/>
    </w:rPr>
  </w:style>
  <w:style w:type="character" w:styleId="BookTitle">
    <w:name w:val="Book Title"/>
    <w:basedOn w:val="DefaultParagraphFont"/>
    <w:uiPriority w:val="99"/>
    <w:qFormat/>
    <w:rsid w:val="000850B1"/>
    <w:rPr>
      <w:rFonts w:cs="Times New Roman"/>
      <w:i/>
      <w:smallCaps/>
      <w:spacing w:val="5"/>
    </w:rPr>
  </w:style>
  <w:style w:type="paragraph" w:customStyle="1" w:styleId="ECHRHeader">
    <w:name w:val="ECHR_Header"/>
    <w:aliases w:val="Ju_Header"/>
    <w:basedOn w:val="Header"/>
    <w:uiPriority w:val="99"/>
    <w:rsid w:val="000850B1"/>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99"/>
    <w:semiHidden/>
    <w:rsid w:val="00D64455"/>
    <w:pPr>
      <w:jc w:val="left"/>
    </w:pPr>
    <w:rPr>
      <w:sz w:val="8"/>
    </w:rPr>
  </w:style>
  <w:style w:type="character" w:styleId="Strong">
    <w:name w:val="Strong"/>
    <w:basedOn w:val="DefaultParagraphFont"/>
    <w:uiPriority w:val="99"/>
    <w:qFormat/>
    <w:rsid w:val="000850B1"/>
    <w:rPr>
      <w:rFonts w:cs="Times New Roman"/>
      <w:b/>
    </w:rPr>
  </w:style>
  <w:style w:type="paragraph" w:styleId="NoSpacing">
    <w:name w:val="No Spacing"/>
    <w:basedOn w:val="Normal"/>
    <w:link w:val="NoSpacingChar"/>
    <w:uiPriority w:val="99"/>
    <w:qFormat/>
    <w:rsid w:val="000850B1"/>
    <w:rPr>
      <w:sz w:val="22"/>
    </w:rPr>
  </w:style>
  <w:style w:type="character" w:customStyle="1" w:styleId="NoSpacingChar">
    <w:name w:val="No Spacing Char"/>
    <w:basedOn w:val="DefaultParagraphFont"/>
    <w:link w:val="NoSpacing"/>
    <w:uiPriority w:val="99"/>
    <w:semiHidden/>
    <w:locked/>
    <w:rsid w:val="000850B1"/>
    <w:rPr>
      <w:rFonts w:eastAsia="MS Mincho" w:cs="Times New Roman"/>
    </w:rPr>
  </w:style>
  <w:style w:type="paragraph" w:customStyle="1" w:styleId="ECHRFooterLine">
    <w:name w:val="ECHR_Footer_Line"/>
    <w:aliases w:val="Footer_Line"/>
    <w:basedOn w:val="Normal"/>
    <w:next w:val="ECHRFooter"/>
    <w:uiPriority w:val="99"/>
    <w:semiHidden/>
    <w:rsid w:val="00D64455"/>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99"/>
    <w:rsid w:val="00D64455"/>
    <w:pPr>
      <w:numPr>
        <w:numId w:val="13"/>
      </w:numPr>
      <w:jc w:val="left"/>
    </w:pPr>
    <w:rPr>
      <w:b/>
    </w:rPr>
  </w:style>
  <w:style w:type="paragraph" w:customStyle="1" w:styleId="OpiPara">
    <w:name w:val="Opi_Para"/>
    <w:basedOn w:val="ECHRPara"/>
    <w:uiPriority w:val="99"/>
    <w:rsid w:val="000850B1"/>
  </w:style>
  <w:style w:type="paragraph" w:customStyle="1" w:styleId="JuParaSub">
    <w:name w:val="Ju_Para_Sub"/>
    <w:basedOn w:val="ECHRPara"/>
    <w:uiPriority w:val="99"/>
    <w:rsid w:val="000850B1"/>
    <w:pPr>
      <w:ind w:left="284"/>
    </w:pPr>
  </w:style>
  <w:style w:type="paragraph" w:customStyle="1" w:styleId="ECHRTitleCentre3">
    <w:name w:val="ECHR_Title_Centre_3"/>
    <w:aliases w:val="Ju_H_Article"/>
    <w:basedOn w:val="Normal"/>
    <w:next w:val="ECHRParaQuote"/>
    <w:uiPriority w:val="99"/>
    <w:rsid w:val="000850B1"/>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rsid w:val="000850B1"/>
    <w:pPr>
      <w:keepNext/>
      <w:keepLines/>
      <w:spacing w:after="240"/>
      <w:jc w:val="center"/>
      <w:outlineLvl w:val="0"/>
    </w:pPr>
    <w:rPr>
      <w:sz w:val="28"/>
    </w:rPr>
  </w:style>
  <w:style w:type="paragraph" w:customStyle="1" w:styleId="OpiParaSub">
    <w:name w:val="Opi_Para_Sub"/>
    <w:basedOn w:val="JuParaSub"/>
    <w:uiPriority w:val="99"/>
    <w:rsid w:val="000850B1"/>
  </w:style>
  <w:style w:type="paragraph" w:customStyle="1" w:styleId="OpiQuot">
    <w:name w:val="Opi_Quot"/>
    <w:basedOn w:val="ECHRParaQuote"/>
    <w:uiPriority w:val="99"/>
    <w:rsid w:val="000850B1"/>
  </w:style>
  <w:style w:type="paragraph" w:customStyle="1" w:styleId="OpiQuotSub">
    <w:name w:val="Opi_Quot_Sub"/>
    <w:basedOn w:val="JuQuotSub"/>
    <w:uiPriority w:val="99"/>
    <w:rsid w:val="000850B1"/>
  </w:style>
  <w:style w:type="paragraph" w:customStyle="1" w:styleId="ECHRTitleCentre2">
    <w:name w:val="ECHR_Title_Centre_2"/>
    <w:aliases w:val="Dec_H_Case"/>
    <w:basedOn w:val="Normal"/>
    <w:next w:val="ECHRPara"/>
    <w:uiPriority w:val="99"/>
    <w:rsid w:val="00D64455"/>
    <w:pPr>
      <w:spacing w:after="240"/>
      <w:jc w:val="center"/>
      <w:outlineLvl w:val="0"/>
    </w:pPr>
  </w:style>
  <w:style w:type="paragraph" w:customStyle="1" w:styleId="JuTitle">
    <w:name w:val="Ju_Title"/>
    <w:basedOn w:val="Normal"/>
    <w:next w:val="ECHRPara"/>
    <w:uiPriority w:val="99"/>
    <w:rsid w:val="00D64455"/>
    <w:pPr>
      <w:spacing w:before="720" w:after="240"/>
      <w:jc w:val="center"/>
      <w:outlineLvl w:val="0"/>
    </w:pPr>
    <w:rPr>
      <w:b/>
      <w:caps/>
    </w:rPr>
  </w:style>
  <w:style w:type="paragraph" w:styleId="Title">
    <w:name w:val="Title"/>
    <w:basedOn w:val="Normal"/>
    <w:next w:val="Normal"/>
    <w:link w:val="TitleChar"/>
    <w:uiPriority w:val="99"/>
    <w:qFormat/>
    <w:rsid w:val="000850B1"/>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0850B1"/>
    <w:rPr>
      <w:rFonts w:ascii="Times New Roman" w:eastAsia="MS Gothic" w:hAnsi="Times New Roman" w:cs="Times New Roman"/>
      <w:spacing w:val="5"/>
      <w:sz w:val="52"/>
      <w:szCs w:val="52"/>
    </w:rPr>
  </w:style>
  <w:style w:type="paragraph" w:customStyle="1" w:styleId="ECHRHeading3">
    <w:name w:val="ECHR_Heading_3"/>
    <w:aliases w:val="Ju_H_1."/>
    <w:basedOn w:val="Heading3"/>
    <w:next w:val="ECHRPara"/>
    <w:uiPriority w:val="99"/>
    <w:rsid w:val="000850B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99"/>
    <w:rsid w:val="000850B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99"/>
    <w:rsid w:val="000850B1"/>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0850B1"/>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99"/>
    <w:rsid w:val="000850B1"/>
    <w:pPr>
      <w:keepNext/>
      <w:keepLines/>
      <w:spacing w:before="240" w:after="120"/>
      <w:ind w:left="1236"/>
    </w:pPr>
    <w:rPr>
      <w:sz w:val="20"/>
    </w:rPr>
  </w:style>
  <w:style w:type="paragraph" w:customStyle="1" w:styleId="JuQuotSub">
    <w:name w:val="Ju_Quot_Sub"/>
    <w:basedOn w:val="ECHRParaQuote"/>
    <w:uiPriority w:val="99"/>
    <w:rsid w:val="000850B1"/>
    <w:pPr>
      <w:ind w:left="567"/>
    </w:pPr>
  </w:style>
  <w:style w:type="paragraph" w:customStyle="1" w:styleId="JuInitialled">
    <w:name w:val="Ju_Initialled"/>
    <w:basedOn w:val="Normal"/>
    <w:uiPriority w:val="99"/>
    <w:rsid w:val="000850B1"/>
    <w:pPr>
      <w:tabs>
        <w:tab w:val="center" w:pos="6407"/>
      </w:tabs>
      <w:spacing w:before="720"/>
      <w:jc w:val="right"/>
    </w:pPr>
  </w:style>
  <w:style w:type="paragraph" w:customStyle="1" w:styleId="OpiHA">
    <w:name w:val="Opi_H_A"/>
    <w:basedOn w:val="ECHRHeading1"/>
    <w:next w:val="OpiPara"/>
    <w:uiPriority w:val="99"/>
    <w:rsid w:val="000850B1"/>
    <w:pPr>
      <w:tabs>
        <w:tab w:val="clear" w:pos="357"/>
      </w:tabs>
      <w:outlineLvl w:val="1"/>
    </w:pPr>
    <w:rPr>
      <w:b/>
    </w:rPr>
  </w:style>
  <w:style w:type="paragraph" w:styleId="Header">
    <w:name w:val="header"/>
    <w:basedOn w:val="Normal"/>
    <w:link w:val="HeaderChar"/>
    <w:uiPriority w:val="99"/>
    <w:semiHidden/>
    <w:rsid w:val="00D64455"/>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D64455"/>
    <w:rPr>
      <w:rFonts w:cs="Times New Roman"/>
      <w:sz w:val="24"/>
    </w:rPr>
  </w:style>
  <w:style w:type="paragraph" w:customStyle="1" w:styleId="ECHRHeading1">
    <w:name w:val="ECHR_Heading_1"/>
    <w:aliases w:val="Ju_H_I_Roman"/>
    <w:basedOn w:val="Heading1"/>
    <w:next w:val="ECHRPara"/>
    <w:uiPriority w:val="99"/>
    <w:rsid w:val="000850B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99"/>
    <w:rsid w:val="000850B1"/>
    <w:pPr>
      <w:keepNext/>
      <w:keepLines/>
      <w:tabs>
        <w:tab w:val="left" w:pos="584"/>
      </w:tabs>
      <w:spacing w:before="360" w:after="240"/>
      <w:ind w:left="584" w:hanging="352"/>
    </w:pPr>
    <w:rPr>
      <w:color w:val="auto"/>
      <w:sz w:val="24"/>
    </w:rPr>
  </w:style>
  <w:style w:type="character" w:customStyle="1" w:styleId="JUNAMES">
    <w:name w:val="JU_NAMES"/>
    <w:uiPriority w:val="99"/>
    <w:rsid w:val="000850B1"/>
    <w:rPr>
      <w:smallCaps/>
    </w:rPr>
  </w:style>
  <w:style w:type="paragraph" w:customStyle="1" w:styleId="ECHRDecisionBody">
    <w:name w:val="ECHR_Decision_Body"/>
    <w:aliases w:val="Ju_Judges"/>
    <w:basedOn w:val="Normal"/>
    <w:uiPriority w:val="99"/>
    <w:rsid w:val="000850B1"/>
    <w:pPr>
      <w:tabs>
        <w:tab w:val="left" w:pos="567"/>
        <w:tab w:val="left" w:pos="1134"/>
      </w:tabs>
      <w:jc w:val="left"/>
    </w:pPr>
  </w:style>
  <w:style w:type="paragraph" w:customStyle="1" w:styleId="ECHRPara">
    <w:name w:val="ECHR_Para"/>
    <w:aliases w:val="Ju_Para"/>
    <w:basedOn w:val="Normal"/>
    <w:link w:val="ECHRParaChar"/>
    <w:uiPriority w:val="99"/>
    <w:rsid w:val="000850B1"/>
    <w:pPr>
      <w:ind w:firstLine="284"/>
    </w:pPr>
  </w:style>
  <w:style w:type="character" w:styleId="SubtleEmphasis">
    <w:name w:val="Subtle Emphasis"/>
    <w:basedOn w:val="DefaultParagraphFont"/>
    <w:uiPriority w:val="99"/>
    <w:qFormat/>
    <w:rsid w:val="000850B1"/>
    <w:rPr>
      <w:rFonts w:cs="Times New Roman"/>
      <w:i/>
    </w:rPr>
  </w:style>
  <w:style w:type="table" w:customStyle="1" w:styleId="ECHRTable">
    <w:name w:val="ECHR_Table"/>
    <w:uiPriority w:val="99"/>
    <w:rsid w:val="00860B03"/>
    <w:rPr>
      <w:sz w:val="20"/>
      <w:szCs w:val="20"/>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sz w:val="20"/>
      <w:szCs w:val="20"/>
      <w:lang w:val="en-GB"/>
    </w:rPr>
    <w:tblPr>
      <w:tblInd w:w="0" w:type="dxa"/>
      <w:tblCellMar>
        <w:top w:w="57" w:type="dxa"/>
        <w:left w:w="57" w:type="dxa"/>
        <w:bottom w:w="57" w:type="dxa"/>
        <w:right w:w="57" w:type="dxa"/>
      </w:tblCellMar>
    </w:tblPr>
    <w:tcPr>
      <w:shd w:val="clear" w:color="auto" w:fill="F8F8F8"/>
    </w:tcPr>
  </w:style>
  <w:style w:type="paragraph" w:customStyle="1" w:styleId="ECHRTitle1">
    <w:name w:val="ECHR_Title_1"/>
    <w:aliases w:val="Ju_H_Head,Title_L_1"/>
    <w:basedOn w:val="Normal"/>
    <w:next w:val="ECHRPara"/>
    <w:uiPriority w:val="99"/>
    <w:rsid w:val="000850B1"/>
    <w:pPr>
      <w:keepNext/>
      <w:keepLines/>
      <w:spacing w:before="720" w:after="240"/>
      <w:outlineLvl w:val="0"/>
    </w:pPr>
    <w:rPr>
      <w:sz w:val="28"/>
    </w:rPr>
  </w:style>
  <w:style w:type="character" w:styleId="Emphasis">
    <w:name w:val="Emphasis"/>
    <w:basedOn w:val="DefaultParagraphFont"/>
    <w:uiPriority w:val="99"/>
    <w:qFormat/>
    <w:rsid w:val="000850B1"/>
    <w:rPr>
      <w:rFonts w:cs="Times New Roman"/>
      <w:b/>
      <w:i/>
      <w:spacing w:val="10"/>
      <w:shd w:val="clear" w:color="auto" w:fill="auto"/>
    </w:rPr>
  </w:style>
  <w:style w:type="paragraph" w:styleId="Footer">
    <w:name w:val="footer"/>
    <w:basedOn w:val="Normal"/>
    <w:link w:val="FooterChar"/>
    <w:uiPriority w:val="99"/>
    <w:semiHidden/>
    <w:rsid w:val="00D64455"/>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D64455"/>
    <w:rPr>
      <w:rFonts w:cs="Times New Roman"/>
      <w:sz w:val="24"/>
    </w:rPr>
  </w:style>
  <w:style w:type="character" w:styleId="FootnoteReference">
    <w:name w:val="footnote reference"/>
    <w:basedOn w:val="DefaultParagraphFont"/>
    <w:uiPriority w:val="99"/>
    <w:semiHidden/>
    <w:rsid w:val="00D64455"/>
    <w:rPr>
      <w:rFonts w:cs="Times New Roman"/>
      <w:vertAlign w:val="superscript"/>
    </w:rPr>
  </w:style>
  <w:style w:type="paragraph" w:styleId="FootnoteText">
    <w:name w:val="footnote text"/>
    <w:basedOn w:val="Normal"/>
    <w:link w:val="FootnoteTextChar"/>
    <w:uiPriority w:val="99"/>
    <w:semiHidden/>
    <w:rsid w:val="00D64455"/>
    <w:rPr>
      <w:sz w:val="20"/>
      <w:szCs w:val="20"/>
    </w:rPr>
  </w:style>
  <w:style w:type="character" w:customStyle="1" w:styleId="FootnoteTextChar">
    <w:name w:val="Footnote Text Char"/>
    <w:basedOn w:val="DefaultParagraphFont"/>
    <w:link w:val="FootnoteText"/>
    <w:uiPriority w:val="99"/>
    <w:semiHidden/>
    <w:locked/>
    <w:rsid w:val="00D64455"/>
    <w:rPr>
      <w:rFonts w:eastAsia="MS Mincho" w:cs="Times New Roman"/>
      <w:sz w:val="20"/>
      <w:szCs w:val="20"/>
    </w:rPr>
  </w:style>
  <w:style w:type="character" w:styleId="Hyperlink">
    <w:name w:val="Hyperlink"/>
    <w:basedOn w:val="DefaultParagraphFont"/>
    <w:uiPriority w:val="99"/>
    <w:semiHidden/>
    <w:rsid w:val="00D64455"/>
    <w:rPr>
      <w:rFonts w:cs="Times New Roman"/>
      <w:color w:val="0072BC"/>
      <w:u w:val="single"/>
    </w:rPr>
  </w:style>
  <w:style w:type="character" w:styleId="IntenseEmphasis">
    <w:name w:val="Intense Emphasis"/>
    <w:basedOn w:val="DefaultParagraphFont"/>
    <w:uiPriority w:val="99"/>
    <w:qFormat/>
    <w:rsid w:val="000850B1"/>
    <w:rPr>
      <w:rFonts w:cs="Times New Roman"/>
      <w:b/>
    </w:rPr>
  </w:style>
  <w:style w:type="paragraph" w:styleId="IntenseQuote">
    <w:name w:val="Intense Quote"/>
    <w:basedOn w:val="Normal"/>
    <w:next w:val="Normal"/>
    <w:link w:val="IntenseQuoteChar"/>
    <w:uiPriority w:val="99"/>
    <w:qFormat/>
    <w:rsid w:val="000850B1"/>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locked/>
    <w:rsid w:val="000850B1"/>
    <w:rPr>
      <w:rFonts w:eastAsia="MS Mincho" w:cs="Times New Roman"/>
      <w:b/>
      <w:bCs/>
      <w:i/>
      <w:iCs/>
    </w:rPr>
  </w:style>
  <w:style w:type="character" w:styleId="IntenseReference">
    <w:name w:val="Intense Reference"/>
    <w:basedOn w:val="DefaultParagraphFont"/>
    <w:uiPriority w:val="99"/>
    <w:qFormat/>
    <w:rsid w:val="000850B1"/>
    <w:rPr>
      <w:rFonts w:cs="Times New Roman"/>
      <w:smallCaps/>
      <w:spacing w:val="5"/>
      <w:u w:val="single"/>
    </w:rPr>
  </w:style>
  <w:style w:type="paragraph" w:styleId="ListParagraph">
    <w:name w:val="List Paragraph"/>
    <w:basedOn w:val="Normal"/>
    <w:uiPriority w:val="99"/>
    <w:qFormat/>
    <w:rsid w:val="000850B1"/>
    <w:pPr>
      <w:ind w:left="720"/>
      <w:contextualSpacing/>
    </w:pPr>
  </w:style>
  <w:style w:type="table" w:customStyle="1" w:styleId="LtrTableAddress">
    <w:name w:val="Ltr_Table_Address"/>
    <w:uiPriority w:val="99"/>
    <w:rsid w:val="001E6F32"/>
    <w:rPr>
      <w:sz w:val="20"/>
      <w:szCs w:val="20"/>
      <w:lang w:eastAsia="en-US"/>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0850B1"/>
    <w:pPr>
      <w:spacing w:before="200"/>
      <w:ind w:left="360" w:right="360"/>
    </w:pPr>
    <w:rPr>
      <w:i/>
      <w:iCs/>
      <w:sz w:val="22"/>
    </w:rPr>
  </w:style>
  <w:style w:type="character" w:customStyle="1" w:styleId="QuoteChar">
    <w:name w:val="Quote Char"/>
    <w:basedOn w:val="DefaultParagraphFont"/>
    <w:link w:val="Quote"/>
    <w:uiPriority w:val="99"/>
    <w:semiHidden/>
    <w:locked/>
    <w:rsid w:val="000850B1"/>
    <w:rPr>
      <w:rFonts w:eastAsia="MS Mincho" w:cs="Times New Roman"/>
      <w:i/>
      <w:iCs/>
    </w:rPr>
  </w:style>
  <w:style w:type="character" w:styleId="SubtleReference">
    <w:name w:val="Subtle Reference"/>
    <w:basedOn w:val="DefaultParagraphFont"/>
    <w:uiPriority w:val="99"/>
    <w:qFormat/>
    <w:rsid w:val="000850B1"/>
    <w:rPr>
      <w:rFonts w:cs="Times New Roman"/>
      <w:smallCaps/>
    </w:rPr>
  </w:style>
  <w:style w:type="table" w:styleId="TableGrid">
    <w:name w:val="Table Grid"/>
    <w:basedOn w:val="TableNormal"/>
    <w:uiPriority w:val="99"/>
    <w:semiHidden/>
    <w:rsid w:val="00D64455"/>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64455"/>
    <w:pPr>
      <w:spacing w:before="120" w:after="60"/>
      <w:ind w:left="340" w:right="340" w:hanging="340"/>
    </w:pPr>
    <w:rPr>
      <w:color w:val="0D0D0D"/>
    </w:rPr>
  </w:style>
  <w:style w:type="paragraph" w:styleId="TOC2">
    <w:name w:val="toc 2"/>
    <w:basedOn w:val="Normal"/>
    <w:next w:val="Normal"/>
    <w:autoRedefine/>
    <w:uiPriority w:val="99"/>
    <w:semiHidden/>
    <w:rsid w:val="00D64455"/>
    <w:pPr>
      <w:spacing w:after="60"/>
      <w:ind w:left="680" w:right="340" w:hanging="340"/>
    </w:pPr>
  </w:style>
  <w:style w:type="paragraph" w:styleId="TOC3">
    <w:name w:val="toc 3"/>
    <w:basedOn w:val="Normal"/>
    <w:next w:val="Normal"/>
    <w:autoRedefine/>
    <w:uiPriority w:val="99"/>
    <w:semiHidden/>
    <w:rsid w:val="00D64455"/>
    <w:pPr>
      <w:spacing w:after="60"/>
      <w:ind w:left="1020" w:right="340" w:hanging="340"/>
    </w:pPr>
  </w:style>
  <w:style w:type="paragraph" w:styleId="TOC4">
    <w:name w:val="toc 4"/>
    <w:basedOn w:val="Normal"/>
    <w:next w:val="Normal"/>
    <w:autoRedefine/>
    <w:uiPriority w:val="99"/>
    <w:semiHidden/>
    <w:rsid w:val="00D64455"/>
    <w:pPr>
      <w:tabs>
        <w:tab w:val="right" w:leader="dot" w:pos="9017"/>
      </w:tabs>
      <w:spacing w:after="60"/>
      <w:ind w:left="1361" w:right="340" w:hanging="340"/>
    </w:pPr>
  </w:style>
  <w:style w:type="paragraph" w:styleId="TOC5">
    <w:name w:val="toc 5"/>
    <w:basedOn w:val="Normal"/>
    <w:next w:val="Normal"/>
    <w:autoRedefine/>
    <w:uiPriority w:val="99"/>
    <w:semiHidden/>
    <w:rsid w:val="00D64455"/>
    <w:pPr>
      <w:spacing w:after="60"/>
      <w:ind w:left="1701" w:right="340" w:hanging="340"/>
    </w:pPr>
  </w:style>
  <w:style w:type="paragraph" w:styleId="TOCHeading">
    <w:name w:val="TOC Heading"/>
    <w:basedOn w:val="Heading1"/>
    <w:next w:val="Normal"/>
    <w:uiPriority w:val="99"/>
    <w:qFormat/>
    <w:rsid w:val="000850B1"/>
    <w:pPr>
      <w:outlineLvl w:val="9"/>
    </w:pPr>
    <w:rPr>
      <w:color w:val="474747"/>
    </w:rPr>
  </w:style>
  <w:style w:type="table" w:customStyle="1" w:styleId="UGTable">
    <w:name w:val="UG_Table"/>
    <w:uiPriority w:val="99"/>
    <w:rsid w:val="00801300"/>
    <w:rPr>
      <w:rFonts w:eastAsia="MS Mincho"/>
      <w:sz w:val="20"/>
      <w:szCs w:val="20"/>
      <w:lang w:val="en-GB" w:eastAsia="en-GB"/>
    </w:rPr>
    <w:tblPr>
      <w:tblInd w:w="-1191" w:type="dxa"/>
      <w:tblCellMar>
        <w:top w:w="57" w:type="dxa"/>
        <w:left w:w="0" w:type="dxa"/>
        <w:bottom w:w="0" w:type="dxa"/>
        <w:right w:w="0" w:type="dxa"/>
      </w:tblCellMar>
    </w:tblPr>
  </w:style>
  <w:style w:type="table" w:customStyle="1" w:styleId="UGTableWhiteBox">
    <w:name w:val="UG_Table_White_Box"/>
    <w:uiPriority w:val="99"/>
    <w:rsid w:val="00801300"/>
    <w:rPr>
      <w:rFonts w:eastAsia="MS Mincho"/>
      <w:sz w:val="20"/>
      <w:szCs w:val="20"/>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20"/>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lang w:eastAsia="en-US"/>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Ind w:w="0" w:type="dxa"/>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D64455"/>
    <w:pPr>
      <w:spacing w:before="120"/>
    </w:pPr>
    <w:rPr>
      <w:rFonts w:eastAsia="MS Gothic"/>
      <w:b/>
      <w:bCs/>
      <w:color w:val="474747"/>
      <w:szCs w:val="24"/>
    </w:rPr>
  </w:style>
  <w:style w:type="paragraph" w:customStyle="1" w:styleId="ECHRParaQuote">
    <w:name w:val="ECHR_Para_Quote"/>
    <w:aliases w:val="Ju_Quot,Para_Quote"/>
    <w:basedOn w:val="Normal"/>
    <w:uiPriority w:val="99"/>
    <w:rsid w:val="000850B1"/>
    <w:pPr>
      <w:spacing w:before="120" w:after="120"/>
      <w:ind w:left="425" w:firstLine="142"/>
    </w:pPr>
    <w:rPr>
      <w:sz w:val="20"/>
    </w:rPr>
  </w:style>
  <w:style w:type="table" w:customStyle="1" w:styleId="ECHRTableSimpleBox">
    <w:name w:val="ECHR_Table_Simple_Box"/>
    <w:uiPriority w:val="99"/>
    <w:rsid w:val="00AE354C"/>
    <w:rPr>
      <w:sz w:val="20"/>
      <w:szCs w:val="20"/>
      <w:lang w:eastAsia="en-US"/>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Ind w:w="0" w:type="dxa"/>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20"/>
    </w:rPr>
    <w:tblPr>
      <w:tblStyleColBandSize w:val="1"/>
      <w:jc w:val="right"/>
      <w:tblInd w:w="0" w:type="dxa"/>
      <w:tblCellMar>
        <w:top w:w="113" w:type="dxa"/>
        <w:left w:w="108" w:type="dxa"/>
        <w:bottom w:w="28" w:type="dxa"/>
        <w:right w:w="108" w:type="dxa"/>
      </w:tblCellMar>
    </w:tblPr>
    <w:trPr>
      <w:jc w:val="right"/>
    </w:trPr>
  </w:style>
  <w:style w:type="table" w:customStyle="1" w:styleId="ECHRListTable">
    <w:name w:val="ECHR_List_Table"/>
    <w:uiPriority w:val="99"/>
    <w:rsid w:val="00D64455"/>
    <w:rPr>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sz w:val="20"/>
      <w:szCs w:val="20"/>
    </w:rPr>
    <w:tblPr>
      <w:tblInd w:w="-680" w:type="dxa"/>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Reduced">
    <w:name w:val="ECHR_Header_Table_Reduced"/>
    <w:uiPriority w:val="99"/>
    <w:rsid w:val="00B52BE0"/>
    <w:rPr>
      <w:sz w:val="20"/>
      <w:szCs w:val="20"/>
    </w:rPr>
    <w:tblPr>
      <w:tblInd w:w="-680" w:type="dxa"/>
      <w:tblCellMar>
        <w:top w:w="0" w:type="dxa"/>
        <w:left w:w="0" w:type="dxa"/>
        <w:bottom w:w="0" w:type="dxa"/>
        <w:right w:w="0" w:type="dxa"/>
      </w:tblCellMar>
    </w:tblPr>
  </w:style>
  <w:style w:type="paragraph" w:customStyle="1" w:styleId="JuSigned">
    <w:name w:val="Ju_Signed"/>
    <w:basedOn w:val="Normal"/>
    <w:next w:val="JuParaLast"/>
    <w:uiPriority w:val="99"/>
    <w:rsid w:val="000850B1"/>
    <w:pPr>
      <w:tabs>
        <w:tab w:val="center" w:pos="851"/>
        <w:tab w:val="center" w:pos="6407"/>
      </w:tabs>
      <w:spacing w:before="720"/>
      <w:jc w:val="left"/>
    </w:pPr>
  </w:style>
  <w:style w:type="paragraph" w:customStyle="1" w:styleId="JuParaLast">
    <w:name w:val="Ju_Para_Last"/>
    <w:basedOn w:val="Normal"/>
    <w:next w:val="ECHRPara"/>
    <w:uiPriority w:val="99"/>
    <w:rsid w:val="000850B1"/>
    <w:pPr>
      <w:keepNext/>
      <w:keepLines/>
      <w:spacing w:before="240"/>
      <w:ind w:firstLine="284"/>
    </w:pPr>
  </w:style>
  <w:style w:type="paragraph" w:customStyle="1" w:styleId="JuCase">
    <w:name w:val="Ju_Case"/>
    <w:basedOn w:val="Normal"/>
    <w:next w:val="ECHRPara"/>
    <w:uiPriority w:val="99"/>
    <w:rsid w:val="00D64455"/>
    <w:pPr>
      <w:ind w:firstLine="284"/>
    </w:pPr>
    <w:rPr>
      <w:b/>
    </w:rPr>
  </w:style>
  <w:style w:type="paragraph" w:customStyle="1" w:styleId="JuList">
    <w:name w:val="Ju_List"/>
    <w:basedOn w:val="Normal"/>
    <w:uiPriority w:val="99"/>
    <w:rsid w:val="000850B1"/>
    <w:pPr>
      <w:ind w:left="340" w:hanging="340"/>
    </w:pPr>
  </w:style>
  <w:style w:type="character" w:customStyle="1" w:styleId="JuITMark">
    <w:name w:val="Ju_ITMark"/>
    <w:basedOn w:val="DefaultParagraphFont"/>
    <w:uiPriority w:val="99"/>
    <w:rsid w:val="000850B1"/>
    <w:rPr>
      <w:rFonts w:cs="Times New Roman"/>
      <w:color w:val="auto"/>
      <w:sz w:val="14"/>
    </w:rPr>
  </w:style>
  <w:style w:type="character" w:styleId="PageNumber">
    <w:name w:val="page number"/>
    <w:basedOn w:val="DefaultParagraphFont"/>
    <w:uiPriority w:val="99"/>
    <w:semiHidden/>
    <w:rsid w:val="00E77CB3"/>
    <w:rPr>
      <w:rFonts w:ascii="Times New Roman" w:hAnsi="Times New Roman" w:cs="Times New Roman"/>
      <w:sz w:val="18"/>
    </w:rPr>
  </w:style>
  <w:style w:type="paragraph" w:customStyle="1" w:styleId="JuLista">
    <w:name w:val="Ju_List_a"/>
    <w:basedOn w:val="JuList"/>
    <w:uiPriority w:val="99"/>
    <w:rsid w:val="000850B1"/>
    <w:pPr>
      <w:ind w:left="346" w:firstLine="0"/>
    </w:pPr>
  </w:style>
  <w:style w:type="paragraph" w:customStyle="1" w:styleId="JuListi">
    <w:name w:val="Ju_List_i"/>
    <w:basedOn w:val="Normal"/>
    <w:next w:val="JuLista"/>
    <w:uiPriority w:val="99"/>
    <w:rsid w:val="000850B1"/>
    <w:pPr>
      <w:ind w:left="794"/>
    </w:pPr>
  </w:style>
  <w:style w:type="character" w:styleId="CommentReference">
    <w:name w:val="annotation reference"/>
    <w:basedOn w:val="DefaultParagraphFont"/>
    <w:uiPriority w:val="99"/>
    <w:semiHidden/>
    <w:rsid w:val="00E77CB3"/>
    <w:rPr>
      <w:rFonts w:cs="Times New Roman"/>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locked/>
    <w:rsid w:val="00E77CB3"/>
    <w:rPr>
      <w:rFonts w:eastAsia="MS Mincho" w:cs="Times New Roman"/>
      <w:sz w:val="20"/>
    </w:rPr>
  </w:style>
  <w:style w:type="character" w:styleId="EndnoteReference">
    <w:name w:val="endnote reference"/>
    <w:basedOn w:val="DefaultParagraphFont"/>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locked/>
    <w:rsid w:val="00E77CB3"/>
    <w:rPr>
      <w:rFonts w:eastAsia="MS Mincho" w:cs="Times New Roman"/>
      <w:sz w:val="20"/>
    </w:rPr>
  </w:style>
  <w:style w:type="character" w:styleId="FollowedHyperlink">
    <w:name w:val="FollowedHyperlink"/>
    <w:basedOn w:val="DefaultParagraphFont"/>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Translation">
    <w:name w:val="Opi_Translation"/>
    <w:basedOn w:val="Normal"/>
    <w:next w:val="OpiPara"/>
    <w:uiPriority w:val="99"/>
    <w:rsid w:val="000850B1"/>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locked/>
    <w:rsid w:val="00E77CB3"/>
    <w:rPr>
      <w:rFonts w:eastAsia="MS Mincho" w:cs="Times New Roman"/>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7CB3"/>
    <w:rPr>
      <w:rFonts w:ascii="Tahoma" w:eastAsia="MS Mincho" w:hAnsi="Tahoma" w:cs="Tahoma"/>
      <w:sz w:val="20"/>
      <w:shd w:val="clear" w:color="auto" w:fill="000080"/>
    </w:rPr>
  </w:style>
  <w:style w:type="paragraph" w:customStyle="1" w:styleId="DecHTitle">
    <w:name w:val="Dec_H_Title"/>
    <w:basedOn w:val="ECHRTitleCentre1"/>
    <w:uiPriority w:val="99"/>
    <w:rsid w:val="00D64455"/>
  </w:style>
  <w:style w:type="paragraph" w:styleId="Subtitle">
    <w:name w:val="Subtitle"/>
    <w:basedOn w:val="Normal"/>
    <w:next w:val="Normal"/>
    <w:link w:val="SubtitleChar"/>
    <w:uiPriority w:val="99"/>
    <w:qFormat/>
    <w:rsid w:val="000850B1"/>
    <w:pPr>
      <w:spacing w:after="600"/>
    </w:pPr>
    <w:rPr>
      <w:rFonts w:eastAsia="MS Gothic"/>
      <w:i/>
      <w:iCs/>
      <w:spacing w:val="13"/>
      <w:szCs w:val="24"/>
    </w:rPr>
  </w:style>
  <w:style w:type="character" w:customStyle="1" w:styleId="SubtitleChar">
    <w:name w:val="Subtitle Char"/>
    <w:basedOn w:val="DefaultParagraphFont"/>
    <w:link w:val="Subtitle"/>
    <w:uiPriority w:val="99"/>
    <w:semiHidden/>
    <w:locked/>
    <w:rsid w:val="000850B1"/>
    <w:rPr>
      <w:rFonts w:ascii="Times New Roman" w:eastAsia="MS Gothic" w:hAnsi="Times New Roman" w:cs="Times New Roman"/>
      <w:i/>
      <w:iCs/>
      <w:spacing w:val="13"/>
      <w:sz w:val="24"/>
      <w:szCs w:val="24"/>
    </w:rPr>
  </w:style>
  <w:style w:type="paragraph" w:styleId="Bibliography">
    <w:name w:val="Bibliography"/>
    <w:basedOn w:val="Normal"/>
    <w:next w:val="Normal"/>
    <w:uiPriority w:val="99"/>
    <w:semiHidden/>
    <w:rsid w:val="00E77CB3"/>
  </w:style>
  <w:style w:type="paragraph" w:styleId="BlockText">
    <w:name w:val="Block Text"/>
    <w:basedOn w:val="Normal"/>
    <w:uiPriority w:val="99"/>
    <w:semiHidden/>
    <w:rsid w:val="00E77CB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locked/>
    <w:rsid w:val="00E77CB3"/>
    <w:rPr>
      <w:rFonts w:eastAsia="MS Mincho" w:cs="Times New Roman"/>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locked/>
    <w:rsid w:val="00E77CB3"/>
    <w:rPr>
      <w:rFonts w:eastAsia="MS Mincho" w:cs="Times New Roman"/>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locked/>
    <w:rsid w:val="00E77CB3"/>
    <w:rPr>
      <w:rFonts w:eastAsia="MS Mincho" w:cs="Times New Roman"/>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locked/>
    <w:rsid w:val="00E77CB3"/>
    <w:rPr>
      <w:rFonts w:eastAsia="MS Mincho" w:cs="Times New Roman"/>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locked/>
    <w:rsid w:val="00E77CB3"/>
    <w:rPr>
      <w:rFonts w:eastAsia="MS Mincho" w:cs="Times New Roman"/>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77CB3"/>
    <w:rPr>
      <w:rFonts w:eastAsia="MS Mincho" w:cs="Times New Roman"/>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77CB3"/>
    <w:rPr>
      <w:rFonts w:eastAsia="MS Mincho" w:cs="Times New Roman"/>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7CB3"/>
    <w:rPr>
      <w:rFonts w:eastAsia="MS Mincho" w:cs="Times New Roman"/>
      <w:sz w:val="16"/>
      <w:szCs w:val="16"/>
    </w:rPr>
  </w:style>
  <w:style w:type="paragraph" w:styleId="Caption">
    <w:name w:val="caption"/>
    <w:basedOn w:val="Normal"/>
    <w:next w:val="Normal"/>
    <w:uiPriority w:val="99"/>
    <w:qFormat/>
    <w:rsid w:val="00E77CB3"/>
    <w:pPr>
      <w:spacing w:after="200"/>
    </w:pPr>
    <w:rPr>
      <w:b/>
      <w:bCs/>
      <w:color w:val="0072BC"/>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locked/>
    <w:rsid w:val="00E77CB3"/>
    <w:rPr>
      <w:rFonts w:eastAsia="MS Mincho" w:cs="Times New Roman"/>
      <w:sz w:val="24"/>
    </w:rPr>
  </w:style>
  <w:style w:type="table" w:customStyle="1" w:styleId="ColorfulGrid1">
    <w:name w:val="Colorful Grid1"/>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semiHidden/>
    <w:rsid w:val="00E77CB3"/>
    <w:rPr>
      <w:color w:val="000000"/>
      <w:sz w:val="20"/>
      <w:szCs w:val="20"/>
      <w:lang w:val="fr-FR" w:eastAsia="fr-FR"/>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E77CB3"/>
    <w:rPr>
      <w:color w:val="000000"/>
      <w:sz w:val="20"/>
      <w:szCs w:val="20"/>
      <w:lang w:val="fr-FR" w:eastAsia="fr-FR"/>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E77CB3"/>
    <w:rPr>
      <w:color w:val="000000"/>
      <w:sz w:val="20"/>
      <w:szCs w:val="20"/>
      <w:lang w:val="fr-FR" w:eastAsia="fr-FR"/>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E77CB3"/>
    <w:rPr>
      <w:color w:val="000000"/>
      <w:sz w:val="20"/>
      <w:szCs w:val="20"/>
      <w:lang w:val="fr-FR" w:eastAsia="fr-FR"/>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E77CB3"/>
    <w:rPr>
      <w:color w:val="000000"/>
      <w:sz w:val="20"/>
      <w:szCs w:val="20"/>
      <w:lang w:val="fr-FR" w:eastAsia="fr-FR"/>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E77CB3"/>
    <w:rPr>
      <w:color w:val="000000"/>
      <w:sz w:val="20"/>
      <w:szCs w:val="20"/>
      <w:lang w:val="fr-FR" w:eastAsia="fr-FR"/>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customStyle="1" w:styleId="ColorfulList1">
    <w:name w:val="Colorful List1"/>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semiHidden/>
    <w:rsid w:val="00E77CB3"/>
    <w:rPr>
      <w:color w:val="000000"/>
      <w:sz w:val="20"/>
      <w:szCs w:val="20"/>
      <w:lang w:val="fr-FR" w:eastAsia="fr-FR"/>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E77CB3"/>
    <w:rPr>
      <w:color w:val="000000"/>
      <w:sz w:val="20"/>
      <w:szCs w:val="20"/>
      <w:lang w:val="fr-FR" w:eastAsia="fr-FR"/>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E77CB3"/>
    <w:rPr>
      <w:color w:val="000000"/>
      <w:sz w:val="20"/>
      <w:szCs w:val="20"/>
      <w:lang w:val="fr-FR" w:eastAsia="fr-FR"/>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E77CB3"/>
    <w:rPr>
      <w:color w:val="000000"/>
      <w:sz w:val="20"/>
      <w:szCs w:val="20"/>
      <w:lang w:val="fr-FR" w:eastAsia="fr-FR"/>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E77CB3"/>
    <w:rPr>
      <w:color w:val="000000"/>
      <w:sz w:val="20"/>
      <w:szCs w:val="20"/>
      <w:lang w:val="fr-FR" w:eastAsia="fr-FR"/>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E77CB3"/>
    <w:rPr>
      <w:color w:val="000000"/>
      <w:sz w:val="20"/>
      <w:szCs w:val="20"/>
      <w:lang w:val="fr-FR" w:eastAsia="fr-FR"/>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customStyle="1" w:styleId="ColorfulShading1">
    <w:name w:val="Colorful Shading1"/>
    <w:uiPriority w:val="99"/>
    <w:semiHidden/>
    <w:rsid w:val="00E77CB3"/>
    <w:rPr>
      <w:color w:val="000000"/>
      <w:sz w:val="20"/>
      <w:szCs w:val="20"/>
      <w:lang w:val="fr-FR" w:eastAsia="fr-FR"/>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semiHidden/>
    <w:rsid w:val="00E77CB3"/>
    <w:rPr>
      <w:color w:val="000000"/>
      <w:sz w:val="20"/>
      <w:szCs w:val="2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E77CB3"/>
    <w:rPr>
      <w:color w:val="000000"/>
      <w:sz w:val="20"/>
      <w:szCs w:val="2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E77CB3"/>
    <w:rPr>
      <w:color w:val="000000"/>
      <w:sz w:val="20"/>
      <w:szCs w:val="2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E77CB3"/>
    <w:rPr>
      <w:color w:val="000000"/>
      <w:sz w:val="20"/>
      <w:szCs w:val="2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E77CB3"/>
    <w:rPr>
      <w:color w:val="000000"/>
      <w:sz w:val="20"/>
      <w:szCs w:val="2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E77CB3"/>
    <w:rPr>
      <w:color w:val="000000"/>
      <w:sz w:val="20"/>
      <w:szCs w:val="2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semiHidden/>
    <w:rsid w:val="00E77CB3"/>
    <w:rPr>
      <w:color w:val="0072BC"/>
      <w:sz w:val="20"/>
      <w:szCs w:val="20"/>
      <w:lang w:val="fr-FR" w:eastAsia="fr-FR"/>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E77CB3"/>
    <w:rPr>
      <w:color w:val="0072BC"/>
      <w:sz w:val="20"/>
      <w:szCs w:val="20"/>
      <w:lang w:val="fr-FR" w:eastAsia="fr-FR"/>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E77CB3"/>
    <w:rPr>
      <w:color w:val="0072BC"/>
      <w:sz w:val="20"/>
      <w:szCs w:val="20"/>
      <w:lang w:val="fr-FR" w:eastAsia="fr-FR"/>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E77CB3"/>
    <w:rPr>
      <w:color w:val="0072BC"/>
      <w:sz w:val="20"/>
      <w:szCs w:val="20"/>
      <w:lang w:val="fr-FR" w:eastAsia="fr-FR"/>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E77CB3"/>
    <w:rPr>
      <w:color w:val="0072BC"/>
      <w:sz w:val="20"/>
      <w:szCs w:val="20"/>
      <w:lang w:val="fr-FR" w:eastAsia="fr-FR"/>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E77CB3"/>
    <w:rPr>
      <w:color w:val="0072BC"/>
      <w:sz w:val="20"/>
      <w:szCs w:val="20"/>
      <w:lang w:val="fr-FR" w:eastAsia="fr-FR"/>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locked/>
    <w:rsid w:val="00E77CB3"/>
    <w:rPr>
      <w:rFonts w:eastAsia="MS Mincho" w:cs="Times New Roman"/>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locked/>
    <w:rsid w:val="00E77CB3"/>
    <w:rPr>
      <w:rFonts w:eastAsia="MS Mincho" w:cs="Times New Roman"/>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E77CB3"/>
    <w:rPr>
      <w:rFonts w:eastAsia="MS Gothic"/>
      <w:sz w:val="20"/>
      <w:szCs w:val="20"/>
    </w:rPr>
  </w:style>
  <w:style w:type="character" w:styleId="HTMLAcronym">
    <w:name w:val="HTML Acronym"/>
    <w:basedOn w:val="DefaultParagraphFont"/>
    <w:uiPriority w:val="99"/>
    <w:semiHidden/>
    <w:rsid w:val="00E77CB3"/>
    <w:rPr>
      <w:rFonts w:cs="Times New Roman"/>
    </w:rPr>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locked/>
    <w:rsid w:val="00E77CB3"/>
    <w:rPr>
      <w:rFonts w:eastAsia="MS Mincho" w:cs="Times New Roman"/>
      <w:i/>
      <w:iCs/>
      <w:sz w:val="24"/>
    </w:rPr>
  </w:style>
  <w:style w:type="character" w:styleId="HTMLCite">
    <w:name w:val="HTML Cite"/>
    <w:basedOn w:val="DefaultParagraphFont"/>
    <w:uiPriority w:val="99"/>
    <w:semiHidden/>
    <w:rsid w:val="00E77CB3"/>
    <w:rPr>
      <w:rFonts w:cs="Times New Roman"/>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rFonts w:cs="Times New Roman"/>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E77CB3"/>
    <w:rPr>
      <w:rFonts w:ascii="Consolas" w:eastAsia="MS Mincho"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rFonts w:cs="Times New Roman"/>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eastAsia="MS Gothic"/>
      <w:b/>
      <w:bCs/>
    </w:rPr>
  </w:style>
  <w:style w:type="table" w:customStyle="1" w:styleId="LightGrid1">
    <w:name w:val="Light Grid1"/>
    <w:uiPriority w:val="99"/>
    <w:semiHidden/>
    <w:rsid w:val="00E77CB3"/>
    <w:rPr>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style>
  <w:style w:type="table" w:styleId="LightGrid-Accent2">
    <w:name w:val="Light Grid Accent 2"/>
    <w:basedOn w:val="TableNormal"/>
    <w:uiPriority w:val="99"/>
    <w:semiHidden/>
    <w:rsid w:val="00E77CB3"/>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E77CB3"/>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E77CB3"/>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E77CB3"/>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E77CB3"/>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uiPriority w:val="99"/>
    <w:semiHidden/>
    <w:rsid w:val="00E77CB3"/>
    <w:rPr>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style>
  <w:style w:type="table" w:styleId="LightList-Accent2">
    <w:name w:val="Light List Accent 2"/>
    <w:basedOn w:val="TableNormal"/>
    <w:uiPriority w:val="99"/>
    <w:semiHidden/>
    <w:rsid w:val="00E77CB3"/>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E77CB3"/>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E77CB3"/>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E77CB3"/>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E77CB3"/>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uiPriority w:val="99"/>
    <w:semiHidden/>
    <w:rsid w:val="00E77CB3"/>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semiHidden/>
    <w:rsid w:val="00E77CB3"/>
    <w:rPr>
      <w:color w:val="00548C"/>
      <w:sz w:val="20"/>
      <w:szCs w:val="20"/>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style>
  <w:style w:type="table" w:styleId="LightShading-Accent2">
    <w:name w:val="Light Shading Accent 2"/>
    <w:basedOn w:val="TableNormal"/>
    <w:uiPriority w:val="99"/>
    <w:semiHidden/>
    <w:rsid w:val="00E77CB3"/>
    <w:rPr>
      <w:color w:val="8F0000"/>
      <w:sz w:val="20"/>
      <w:szCs w:val="20"/>
      <w:lang w:val="fr-FR" w:eastAsia="fr-FR"/>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E77CB3"/>
    <w:rPr>
      <w:color w:val="474747"/>
      <w:sz w:val="20"/>
      <w:szCs w:val="20"/>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E77CB3"/>
    <w:rPr>
      <w:color w:val="707070"/>
      <w:sz w:val="20"/>
      <w:szCs w:val="20"/>
      <w:lang w:val="fr-FR" w:eastAsia="fr-FR"/>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E77CB3"/>
    <w:rPr>
      <w:color w:val="474747"/>
      <w:sz w:val="20"/>
      <w:szCs w:val="20"/>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E77CB3"/>
    <w:rPr>
      <w:color w:val="393939"/>
      <w:sz w:val="20"/>
      <w:szCs w:val="20"/>
      <w:lang w:val="fr-FR" w:eastAsia="fr-FR"/>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E77CB3"/>
    <w:rPr>
      <w:rFonts w:cs="Times New Roman"/>
    </w:rPr>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2"/>
      </w:numPr>
      <w:tabs>
        <w:tab w:val="clear" w:pos="1492"/>
        <w:tab w:val="num" w:pos="643"/>
      </w:tabs>
      <w:ind w:left="643"/>
      <w:contextualSpacing/>
    </w:pPr>
  </w:style>
  <w:style w:type="paragraph" w:styleId="ListBullet3">
    <w:name w:val="List Bullet 3"/>
    <w:basedOn w:val="Normal"/>
    <w:uiPriority w:val="99"/>
    <w:semiHidden/>
    <w:rsid w:val="00E77CB3"/>
    <w:pPr>
      <w:numPr>
        <w:numId w:val="3"/>
      </w:numPr>
      <w:tabs>
        <w:tab w:val="clear" w:pos="360"/>
        <w:tab w:val="num" w:pos="926"/>
      </w:tabs>
      <w:ind w:left="926"/>
      <w:contextualSpacing/>
    </w:pPr>
  </w:style>
  <w:style w:type="paragraph" w:styleId="ListBullet4">
    <w:name w:val="List Bullet 4"/>
    <w:basedOn w:val="Normal"/>
    <w:uiPriority w:val="99"/>
    <w:semiHidden/>
    <w:rsid w:val="00E77CB3"/>
    <w:pPr>
      <w:numPr>
        <w:numId w:val="4"/>
      </w:numPr>
      <w:tabs>
        <w:tab w:val="clear" w:pos="643"/>
        <w:tab w:val="num" w:pos="1209"/>
      </w:tabs>
      <w:ind w:left="1209"/>
      <w:contextualSpacing/>
    </w:pPr>
  </w:style>
  <w:style w:type="paragraph" w:styleId="ListBullet5">
    <w:name w:val="List Bullet 5"/>
    <w:basedOn w:val="Normal"/>
    <w:uiPriority w:val="99"/>
    <w:semiHidden/>
    <w:rsid w:val="00E77CB3"/>
    <w:pPr>
      <w:numPr>
        <w:numId w:val="5"/>
      </w:numPr>
      <w:tabs>
        <w:tab w:val="clear" w:pos="926"/>
        <w:tab w:val="num" w:pos="1492"/>
      </w:tabs>
      <w:ind w:left="1492"/>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6"/>
      </w:numPr>
      <w:tabs>
        <w:tab w:val="clear" w:pos="1209"/>
        <w:tab w:val="num" w:pos="360"/>
      </w:tabs>
      <w:ind w:left="360"/>
      <w:contextualSpacing/>
    </w:pPr>
  </w:style>
  <w:style w:type="paragraph" w:styleId="ListNumber2">
    <w:name w:val="List Number 2"/>
    <w:basedOn w:val="Normal"/>
    <w:uiPriority w:val="99"/>
    <w:semiHidden/>
    <w:rsid w:val="00E77CB3"/>
    <w:pPr>
      <w:numPr>
        <w:numId w:val="7"/>
      </w:numPr>
      <w:tabs>
        <w:tab w:val="clear" w:pos="1492"/>
        <w:tab w:val="num" w:pos="643"/>
      </w:tabs>
      <w:ind w:left="643"/>
      <w:contextualSpacing/>
    </w:pPr>
  </w:style>
  <w:style w:type="paragraph" w:styleId="ListNumber3">
    <w:name w:val="List Number 3"/>
    <w:basedOn w:val="Normal"/>
    <w:uiPriority w:val="99"/>
    <w:semiHidden/>
    <w:rsid w:val="00E77CB3"/>
    <w:pPr>
      <w:tabs>
        <w:tab w:val="num" w:pos="926"/>
      </w:tabs>
      <w:ind w:left="926" w:hanging="360"/>
      <w:contextualSpacing/>
    </w:pPr>
  </w:style>
  <w:style w:type="paragraph" w:styleId="ListNumber4">
    <w:name w:val="List Number 4"/>
    <w:basedOn w:val="Normal"/>
    <w:uiPriority w:val="99"/>
    <w:semiHidden/>
    <w:rsid w:val="00E77CB3"/>
    <w:pPr>
      <w:numPr>
        <w:numId w:val="8"/>
      </w:numPr>
      <w:tabs>
        <w:tab w:val="clear" w:pos="643"/>
        <w:tab w:val="num" w:pos="1209"/>
      </w:tabs>
      <w:ind w:left="1209"/>
      <w:contextualSpacing/>
    </w:pPr>
  </w:style>
  <w:style w:type="paragraph" w:styleId="ListNumber5">
    <w:name w:val="List Number 5"/>
    <w:basedOn w:val="Normal"/>
    <w:uiPriority w:val="99"/>
    <w:semiHidden/>
    <w:rsid w:val="00E77CB3"/>
    <w:pPr>
      <w:numPr>
        <w:numId w:val="9"/>
      </w:numPr>
      <w:tabs>
        <w:tab w:val="clear" w:pos="926"/>
        <w:tab w:val="num" w:pos="1492"/>
      </w:tabs>
      <w:ind w:left="1492"/>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eastAsia="en-US"/>
    </w:rPr>
  </w:style>
  <w:style w:type="character" w:customStyle="1" w:styleId="MacroTextChar">
    <w:name w:val="Macro Text Char"/>
    <w:basedOn w:val="DefaultParagraphFont"/>
    <w:link w:val="MacroText"/>
    <w:uiPriority w:val="99"/>
    <w:semiHidden/>
    <w:locked/>
    <w:rsid w:val="00E77CB3"/>
    <w:rPr>
      <w:rFonts w:ascii="Consolas" w:eastAsia="MS Mincho" w:hAnsi="Consolas" w:cs="Consolas"/>
      <w:lang w:val="en-US" w:eastAsia="en-US" w:bidi="ar-SA"/>
    </w:rPr>
  </w:style>
  <w:style w:type="table" w:customStyle="1" w:styleId="MediumGrid11">
    <w:name w:val="Medium Grid 11"/>
    <w:uiPriority w:val="99"/>
    <w:semiHidden/>
    <w:rsid w:val="00E77CB3"/>
    <w:rPr>
      <w:sz w:val="20"/>
      <w:szCs w:val="20"/>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semiHidden/>
    <w:rsid w:val="00E77CB3"/>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E77CB3"/>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E77CB3"/>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E77CB3"/>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E77CB3"/>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E77CB3"/>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customStyle="1" w:styleId="MediumGrid21">
    <w:name w:val="Medium Grid 21"/>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customStyle="1" w:styleId="MediumGrid31">
    <w:name w:val="Medium Grid 31"/>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E77CB3"/>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uiPriority w:val="99"/>
    <w:semiHidden/>
    <w:rsid w:val="00E77CB3"/>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semiHidden/>
    <w:rsid w:val="00E77CB3"/>
    <w:rPr>
      <w:color w:val="000000"/>
      <w:sz w:val="20"/>
      <w:szCs w:val="20"/>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style>
  <w:style w:type="table" w:styleId="MediumList1-Accent2">
    <w:name w:val="Medium List 1 Accent 2"/>
    <w:basedOn w:val="TableNormal"/>
    <w:uiPriority w:val="99"/>
    <w:semiHidden/>
    <w:rsid w:val="00E77CB3"/>
    <w:rPr>
      <w:color w:val="000000"/>
      <w:sz w:val="20"/>
      <w:szCs w:val="2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E77CB3"/>
    <w:rPr>
      <w:color w:val="000000"/>
      <w:sz w:val="20"/>
      <w:szCs w:val="2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E77CB3"/>
    <w:rPr>
      <w:color w:val="000000"/>
      <w:sz w:val="20"/>
      <w:szCs w:val="2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E77CB3"/>
    <w:rPr>
      <w:color w:val="000000"/>
      <w:sz w:val="20"/>
      <w:szCs w:val="2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E77CB3"/>
    <w:rPr>
      <w:color w:val="000000"/>
      <w:sz w:val="20"/>
      <w:szCs w:val="2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customStyle="1" w:styleId="MediumList21">
    <w:name w:val="Medium List 21"/>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E77CB3"/>
    <w:rPr>
      <w:rFonts w:eastAsia="MS Gothic"/>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customStyle="1" w:styleId="MediumShading11">
    <w:name w:val="Medium Shading 11"/>
    <w:uiPriority w:val="99"/>
    <w:semiHidden/>
    <w:rsid w:val="00E77CB3"/>
    <w:rPr>
      <w:sz w:val="20"/>
      <w:szCs w:val="20"/>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semiHidden/>
    <w:rsid w:val="00E77CB3"/>
    <w:rPr>
      <w:sz w:val="20"/>
      <w:szCs w:val="20"/>
      <w:lang w:val="fr-FR" w:eastAsia="fr-FR"/>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style>
  <w:style w:type="table" w:styleId="MediumShading1-Accent2">
    <w:name w:val="Medium Shading 1 Accent 2"/>
    <w:basedOn w:val="TableNormal"/>
    <w:uiPriority w:val="99"/>
    <w:semiHidden/>
    <w:rsid w:val="00E77CB3"/>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E77CB3"/>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E77CB3"/>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E77CB3"/>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E77CB3"/>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semiHidden/>
    <w:rsid w:val="00E77CB3"/>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semiHidden/>
    <w:locked/>
    <w:rsid w:val="00E77CB3"/>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E77CB3"/>
    <w:rPr>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locked/>
    <w:rsid w:val="00E77CB3"/>
    <w:rPr>
      <w:rFonts w:eastAsia="MS Mincho" w:cs="Times New Roman"/>
      <w:sz w:val="24"/>
    </w:rPr>
  </w:style>
  <w:style w:type="character" w:styleId="PlaceholderText">
    <w:name w:val="Placeholder Text"/>
    <w:basedOn w:val="DefaultParagraphFont"/>
    <w:uiPriority w:val="99"/>
    <w:semiHidden/>
    <w:rsid w:val="00E77CB3"/>
    <w:rPr>
      <w:rFonts w:cs="Times New Roman"/>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77CB3"/>
    <w:rPr>
      <w:rFonts w:ascii="Consolas" w:eastAsia="MS Mincho"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locked/>
    <w:rsid w:val="00E77CB3"/>
    <w:rPr>
      <w:rFonts w:eastAsia="MS Mincho" w:cs="Times New Roman"/>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locked/>
    <w:rsid w:val="00E77CB3"/>
    <w:rPr>
      <w:rFonts w:eastAsia="MS Mincho" w:cs="Times New Roman"/>
      <w:sz w:val="24"/>
    </w:rPr>
  </w:style>
  <w:style w:type="table" w:styleId="Table3Deffects1">
    <w:name w:val="Table 3D effects 1"/>
    <w:basedOn w:val="TableNormal"/>
    <w:uiPriority w:val="99"/>
    <w:semiHidden/>
    <w:rsid w:val="00E77CB3"/>
    <w:pPr>
      <w:jc w:val="both"/>
    </w:pPr>
    <w:rPr>
      <w:sz w:val="20"/>
      <w:szCs w:val="20"/>
      <w:lang w:val="fr-FR" w:eastAsia="fr-F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sz w:val="20"/>
      <w:szCs w:val="20"/>
      <w:lang w:val="fr-FR" w:eastAsia="fr-F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sz w:val="20"/>
      <w:szCs w:val="20"/>
      <w:lang w:val="fr-FR" w:eastAsia="fr-F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sz w:val="20"/>
      <w:szCs w:val="20"/>
      <w:lang w:val="fr-FR"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sz w:val="20"/>
      <w:szCs w:val="20"/>
      <w:lang w:val="fr-FR" w:eastAsia="fr-F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sz w:val="20"/>
      <w:szCs w:val="20"/>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sz w:val="20"/>
      <w:szCs w:val="20"/>
      <w:lang w:val="fr-FR" w:eastAsia="fr-F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sz w:val="20"/>
      <w:szCs w:val="20"/>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sz w:val="20"/>
      <w:szCs w:val="20"/>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E77CB3"/>
    <w:pPr>
      <w:jc w:val="both"/>
    </w:pPr>
    <w:rPr>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E77CB3"/>
    <w:pPr>
      <w:jc w:val="both"/>
    </w:pPr>
    <w:rPr>
      <w:sz w:val="20"/>
      <w:szCs w:val="20"/>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sz w:val="20"/>
      <w:szCs w:val="20"/>
      <w:lang w:val="fr-FR" w:eastAsia="fr-F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sz w:val="20"/>
      <w:szCs w:val="20"/>
      <w:lang w:val="fr-FR" w:eastAsia="fr-F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sz w:val="20"/>
      <w:szCs w:val="20"/>
      <w:lang w:val="fr-FR" w:eastAsia="fr-F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sz w:val="20"/>
      <w:szCs w:val="20"/>
      <w:lang w:val="fr-FR" w:eastAsia="fr-F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sz w:val="20"/>
      <w:szCs w:val="20"/>
      <w:lang w:val="fr-FR" w:eastAsia="fr-F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sz w:val="20"/>
      <w:szCs w:val="20"/>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sz w:val="20"/>
      <w:szCs w:val="20"/>
      <w:lang w:val="fr-FR" w:eastAsia="fr-F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sz w:val="20"/>
      <w:szCs w:val="20"/>
      <w:lang w:val="fr-FR" w:eastAsia="fr-F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JuCourt">
    <w:name w:val="Ju_Court"/>
    <w:basedOn w:val="Normal"/>
    <w:next w:val="Normal"/>
    <w:uiPriority w:val="99"/>
    <w:rsid w:val="000850B1"/>
    <w:pPr>
      <w:tabs>
        <w:tab w:val="left" w:pos="907"/>
        <w:tab w:val="left" w:pos="1701"/>
        <w:tab w:val="right" w:pos="7371"/>
      </w:tabs>
      <w:spacing w:before="240"/>
      <w:ind w:left="397" w:hanging="397"/>
      <w:jc w:val="left"/>
    </w:pPr>
  </w:style>
  <w:style w:type="paragraph" w:customStyle="1" w:styleId="DecList">
    <w:name w:val="Dec_List"/>
    <w:basedOn w:val="Normal"/>
    <w:uiPriority w:val="99"/>
    <w:rsid w:val="00D64455"/>
    <w:pPr>
      <w:spacing w:before="240"/>
      <w:ind w:left="284"/>
    </w:pPr>
  </w:style>
  <w:style w:type="paragraph" w:customStyle="1" w:styleId="OpiH1">
    <w:name w:val="Opi_H_1"/>
    <w:basedOn w:val="ECHRHeading2"/>
    <w:uiPriority w:val="99"/>
    <w:rsid w:val="000850B1"/>
    <w:pPr>
      <w:ind w:left="635" w:hanging="357"/>
      <w:outlineLvl w:val="2"/>
    </w:pPr>
  </w:style>
  <w:style w:type="paragraph" w:customStyle="1" w:styleId="OpiHa0">
    <w:name w:val="Opi_H_a"/>
    <w:basedOn w:val="ECHRHeading3"/>
    <w:uiPriority w:val="99"/>
    <w:rsid w:val="000850B1"/>
    <w:pPr>
      <w:ind w:left="833" w:hanging="357"/>
      <w:outlineLvl w:val="3"/>
    </w:pPr>
    <w:rPr>
      <w:b/>
      <w:i w:val="0"/>
      <w:sz w:val="20"/>
    </w:rPr>
  </w:style>
  <w:style w:type="paragraph" w:customStyle="1" w:styleId="OpiHi">
    <w:name w:val="Opi_H_i"/>
    <w:basedOn w:val="ECHRHeading4"/>
    <w:uiPriority w:val="99"/>
    <w:rsid w:val="000850B1"/>
    <w:pPr>
      <w:ind w:left="1037" w:hanging="357"/>
      <w:outlineLvl w:val="4"/>
    </w:pPr>
    <w:rPr>
      <w:b w:val="0"/>
      <w:i/>
    </w:rPr>
  </w:style>
  <w:style w:type="paragraph" w:customStyle="1" w:styleId="DummyStyle">
    <w:name w:val="Dummy_Style"/>
    <w:basedOn w:val="Normal"/>
    <w:uiPriority w:val="99"/>
    <w:semiHidden/>
    <w:rsid w:val="000850B1"/>
    <w:rPr>
      <w:color w:val="00B050"/>
    </w:rPr>
  </w:style>
  <w:style w:type="character" w:customStyle="1" w:styleId="ECHRParaChar">
    <w:name w:val="ECHR_Para Char"/>
    <w:aliases w:val="Ju_Para Char"/>
    <w:basedOn w:val="DefaultParagraphFont"/>
    <w:link w:val="ECHRPara"/>
    <w:uiPriority w:val="99"/>
    <w:locked/>
    <w:rsid w:val="008E4F77"/>
    <w:rPr>
      <w:rFonts w:eastAsia="MS Mincho" w:cs="Times New Roman"/>
      <w:sz w:val="24"/>
    </w:rPr>
  </w:style>
  <w:style w:type="numbering" w:styleId="1ai">
    <w:name w:val="Outline List 1"/>
    <w:basedOn w:val="NoList"/>
    <w:uiPriority w:val="99"/>
    <w:semiHidden/>
    <w:unhideWhenUsed/>
    <w:locked/>
    <w:rsid w:val="00687AA0"/>
    <w:pPr>
      <w:numPr>
        <w:numId w:val="11"/>
      </w:numPr>
    </w:pPr>
  </w:style>
  <w:style w:type="numbering" w:styleId="111111">
    <w:name w:val="Outline List 2"/>
    <w:basedOn w:val="NoList"/>
    <w:uiPriority w:val="99"/>
    <w:semiHidden/>
    <w:unhideWhenUsed/>
    <w:locked/>
    <w:rsid w:val="00687AA0"/>
    <w:pPr>
      <w:numPr>
        <w:numId w:val="10"/>
      </w:numPr>
    </w:pPr>
  </w:style>
  <w:style w:type="numbering" w:styleId="ArticleSection">
    <w:name w:val="Outline List 3"/>
    <w:basedOn w:val="NoList"/>
    <w:uiPriority w:val="99"/>
    <w:semiHidden/>
    <w:unhideWhenUsed/>
    <w:locked/>
    <w:rsid w:val="00687AA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51744">
      <w:marLeft w:val="0"/>
      <w:marRight w:val="0"/>
      <w:marTop w:val="0"/>
      <w:marBottom w:val="0"/>
      <w:divBdr>
        <w:top w:val="none" w:sz="0" w:space="0" w:color="auto"/>
        <w:left w:val="none" w:sz="0" w:space="0" w:color="auto"/>
        <w:bottom w:val="none" w:sz="0" w:space="0" w:color="auto"/>
        <w:right w:val="none" w:sz="0" w:space="0" w:color="auto"/>
      </w:divBdr>
    </w:div>
    <w:div w:id="658851745">
      <w:marLeft w:val="0"/>
      <w:marRight w:val="0"/>
      <w:marTop w:val="0"/>
      <w:marBottom w:val="0"/>
      <w:divBdr>
        <w:top w:val="none" w:sz="0" w:space="0" w:color="auto"/>
        <w:left w:val="none" w:sz="0" w:space="0" w:color="auto"/>
        <w:bottom w:val="none" w:sz="0" w:space="0" w:color="auto"/>
        <w:right w:val="none" w:sz="0" w:space="0" w:color="auto"/>
      </w:divBdr>
    </w:div>
    <w:div w:id="658851746">
      <w:marLeft w:val="0"/>
      <w:marRight w:val="0"/>
      <w:marTop w:val="0"/>
      <w:marBottom w:val="0"/>
      <w:divBdr>
        <w:top w:val="none" w:sz="0" w:space="0" w:color="auto"/>
        <w:left w:val="none" w:sz="0" w:space="0" w:color="auto"/>
        <w:bottom w:val="none" w:sz="0" w:space="0" w:color="auto"/>
        <w:right w:val="none" w:sz="0" w:space="0" w:color="auto"/>
      </w:divBdr>
    </w:div>
    <w:div w:id="658851747">
      <w:marLeft w:val="0"/>
      <w:marRight w:val="0"/>
      <w:marTop w:val="0"/>
      <w:marBottom w:val="0"/>
      <w:divBdr>
        <w:top w:val="none" w:sz="0" w:space="0" w:color="auto"/>
        <w:left w:val="none" w:sz="0" w:space="0" w:color="auto"/>
        <w:bottom w:val="none" w:sz="0" w:space="0" w:color="auto"/>
        <w:right w:val="none" w:sz="0" w:space="0" w:color="auto"/>
      </w:divBdr>
      <w:divsChild>
        <w:div w:id="658851770">
          <w:marLeft w:val="0"/>
          <w:marRight w:val="0"/>
          <w:marTop w:val="0"/>
          <w:marBottom w:val="0"/>
          <w:divBdr>
            <w:top w:val="none" w:sz="0" w:space="0" w:color="auto"/>
            <w:left w:val="none" w:sz="0" w:space="0" w:color="auto"/>
            <w:bottom w:val="none" w:sz="0" w:space="0" w:color="auto"/>
            <w:right w:val="none" w:sz="0" w:space="0" w:color="auto"/>
          </w:divBdr>
          <w:divsChild>
            <w:div w:id="658851762">
              <w:marLeft w:val="0"/>
              <w:marRight w:val="0"/>
              <w:marTop w:val="0"/>
              <w:marBottom w:val="0"/>
              <w:divBdr>
                <w:top w:val="none" w:sz="0" w:space="0" w:color="auto"/>
                <w:left w:val="none" w:sz="0" w:space="0" w:color="auto"/>
                <w:bottom w:val="none" w:sz="0" w:space="0" w:color="auto"/>
                <w:right w:val="none" w:sz="0" w:space="0" w:color="auto"/>
              </w:divBdr>
              <w:divsChild>
                <w:div w:id="658851743">
                  <w:marLeft w:val="0"/>
                  <w:marRight w:val="0"/>
                  <w:marTop w:val="0"/>
                  <w:marBottom w:val="0"/>
                  <w:divBdr>
                    <w:top w:val="none" w:sz="0" w:space="0" w:color="auto"/>
                    <w:left w:val="none" w:sz="0" w:space="0" w:color="auto"/>
                    <w:bottom w:val="none" w:sz="0" w:space="0" w:color="auto"/>
                    <w:right w:val="none" w:sz="0" w:space="0" w:color="auto"/>
                  </w:divBdr>
                  <w:divsChild>
                    <w:div w:id="658851766">
                      <w:marLeft w:val="0"/>
                      <w:marRight w:val="0"/>
                      <w:marTop w:val="0"/>
                      <w:marBottom w:val="0"/>
                      <w:divBdr>
                        <w:top w:val="none" w:sz="0" w:space="0" w:color="auto"/>
                        <w:left w:val="none" w:sz="0" w:space="0" w:color="auto"/>
                        <w:bottom w:val="none" w:sz="0" w:space="0" w:color="auto"/>
                        <w:right w:val="none" w:sz="0" w:space="0" w:color="auto"/>
                      </w:divBdr>
                      <w:divsChild>
                        <w:div w:id="658851769">
                          <w:marLeft w:val="0"/>
                          <w:marRight w:val="0"/>
                          <w:marTop w:val="0"/>
                          <w:marBottom w:val="0"/>
                          <w:divBdr>
                            <w:top w:val="none" w:sz="0" w:space="0" w:color="auto"/>
                            <w:left w:val="none" w:sz="0" w:space="0" w:color="auto"/>
                            <w:bottom w:val="none" w:sz="0" w:space="0" w:color="auto"/>
                            <w:right w:val="none" w:sz="0" w:space="0" w:color="auto"/>
                          </w:divBdr>
                          <w:divsChild>
                            <w:div w:id="6588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51748">
      <w:marLeft w:val="0"/>
      <w:marRight w:val="0"/>
      <w:marTop w:val="0"/>
      <w:marBottom w:val="0"/>
      <w:divBdr>
        <w:top w:val="none" w:sz="0" w:space="0" w:color="auto"/>
        <w:left w:val="none" w:sz="0" w:space="0" w:color="auto"/>
        <w:bottom w:val="none" w:sz="0" w:space="0" w:color="auto"/>
        <w:right w:val="none" w:sz="0" w:space="0" w:color="auto"/>
      </w:divBdr>
      <w:divsChild>
        <w:div w:id="658851749">
          <w:marLeft w:val="0"/>
          <w:marRight w:val="0"/>
          <w:marTop w:val="0"/>
          <w:marBottom w:val="0"/>
          <w:divBdr>
            <w:top w:val="none" w:sz="0" w:space="0" w:color="auto"/>
            <w:left w:val="none" w:sz="0" w:space="0" w:color="auto"/>
            <w:bottom w:val="none" w:sz="0" w:space="0" w:color="auto"/>
            <w:right w:val="none" w:sz="0" w:space="0" w:color="auto"/>
          </w:divBdr>
          <w:divsChild>
            <w:div w:id="658851751">
              <w:marLeft w:val="0"/>
              <w:marRight w:val="0"/>
              <w:marTop w:val="0"/>
              <w:marBottom w:val="0"/>
              <w:divBdr>
                <w:top w:val="none" w:sz="0" w:space="0" w:color="auto"/>
                <w:left w:val="none" w:sz="0" w:space="0" w:color="auto"/>
                <w:bottom w:val="none" w:sz="0" w:space="0" w:color="auto"/>
                <w:right w:val="none" w:sz="0" w:space="0" w:color="auto"/>
              </w:divBdr>
              <w:divsChild>
                <w:div w:id="658851754">
                  <w:marLeft w:val="0"/>
                  <w:marRight w:val="0"/>
                  <w:marTop w:val="0"/>
                  <w:marBottom w:val="0"/>
                  <w:divBdr>
                    <w:top w:val="none" w:sz="0" w:space="0" w:color="auto"/>
                    <w:left w:val="none" w:sz="0" w:space="0" w:color="auto"/>
                    <w:bottom w:val="none" w:sz="0" w:space="0" w:color="auto"/>
                    <w:right w:val="none" w:sz="0" w:space="0" w:color="auto"/>
                  </w:divBdr>
                  <w:divsChild>
                    <w:div w:id="658851768">
                      <w:marLeft w:val="0"/>
                      <w:marRight w:val="0"/>
                      <w:marTop w:val="0"/>
                      <w:marBottom w:val="0"/>
                      <w:divBdr>
                        <w:top w:val="none" w:sz="0" w:space="0" w:color="auto"/>
                        <w:left w:val="none" w:sz="0" w:space="0" w:color="auto"/>
                        <w:bottom w:val="none" w:sz="0" w:space="0" w:color="auto"/>
                        <w:right w:val="none" w:sz="0" w:space="0" w:color="auto"/>
                      </w:divBdr>
                      <w:divsChild>
                        <w:div w:id="658851750">
                          <w:marLeft w:val="0"/>
                          <w:marRight w:val="0"/>
                          <w:marTop w:val="0"/>
                          <w:marBottom w:val="0"/>
                          <w:divBdr>
                            <w:top w:val="none" w:sz="0" w:space="0" w:color="auto"/>
                            <w:left w:val="none" w:sz="0" w:space="0" w:color="auto"/>
                            <w:bottom w:val="none" w:sz="0" w:space="0" w:color="auto"/>
                            <w:right w:val="none" w:sz="0" w:space="0" w:color="auto"/>
                          </w:divBdr>
                          <w:divsChild>
                            <w:div w:id="6588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51755">
      <w:marLeft w:val="0"/>
      <w:marRight w:val="0"/>
      <w:marTop w:val="0"/>
      <w:marBottom w:val="0"/>
      <w:divBdr>
        <w:top w:val="none" w:sz="0" w:space="0" w:color="auto"/>
        <w:left w:val="none" w:sz="0" w:space="0" w:color="auto"/>
        <w:bottom w:val="none" w:sz="0" w:space="0" w:color="auto"/>
        <w:right w:val="none" w:sz="0" w:space="0" w:color="auto"/>
      </w:divBdr>
      <w:divsChild>
        <w:div w:id="658851741">
          <w:marLeft w:val="0"/>
          <w:marRight w:val="0"/>
          <w:marTop w:val="0"/>
          <w:marBottom w:val="0"/>
          <w:divBdr>
            <w:top w:val="none" w:sz="0" w:space="0" w:color="auto"/>
            <w:left w:val="none" w:sz="0" w:space="0" w:color="auto"/>
            <w:bottom w:val="none" w:sz="0" w:space="0" w:color="auto"/>
            <w:right w:val="none" w:sz="0" w:space="0" w:color="auto"/>
          </w:divBdr>
          <w:divsChild>
            <w:div w:id="658851756">
              <w:marLeft w:val="0"/>
              <w:marRight w:val="0"/>
              <w:marTop w:val="0"/>
              <w:marBottom w:val="0"/>
              <w:divBdr>
                <w:top w:val="none" w:sz="0" w:space="0" w:color="auto"/>
                <w:left w:val="none" w:sz="0" w:space="0" w:color="auto"/>
                <w:bottom w:val="none" w:sz="0" w:space="0" w:color="auto"/>
                <w:right w:val="none" w:sz="0" w:space="0" w:color="auto"/>
              </w:divBdr>
              <w:divsChild>
                <w:div w:id="658851758">
                  <w:marLeft w:val="0"/>
                  <w:marRight w:val="0"/>
                  <w:marTop w:val="0"/>
                  <w:marBottom w:val="0"/>
                  <w:divBdr>
                    <w:top w:val="none" w:sz="0" w:space="0" w:color="auto"/>
                    <w:left w:val="none" w:sz="0" w:space="0" w:color="auto"/>
                    <w:bottom w:val="none" w:sz="0" w:space="0" w:color="auto"/>
                    <w:right w:val="none" w:sz="0" w:space="0" w:color="auto"/>
                  </w:divBdr>
                  <w:divsChild>
                    <w:div w:id="658851772">
                      <w:marLeft w:val="0"/>
                      <w:marRight w:val="0"/>
                      <w:marTop w:val="0"/>
                      <w:marBottom w:val="0"/>
                      <w:divBdr>
                        <w:top w:val="none" w:sz="0" w:space="0" w:color="auto"/>
                        <w:left w:val="none" w:sz="0" w:space="0" w:color="auto"/>
                        <w:bottom w:val="none" w:sz="0" w:space="0" w:color="auto"/>
                        <w:right w:val="none" w:sz="0" w:space="0" w:color="auto"/>
                      </w:divBdr>
                      <w:divsChild>
                        <w:div w:id="658851760">
                          <w:marLeft w:val="0"/>
                          <w:marRight w:val="0"/>
                          <w:marTop w:val="0"/>
                          <w:marBottom w:val="0"/>
                          <w:divBdr>
                            <w:top w:val="none" w:sz="0" w:space="0" w:color="auto"/>
                            <w:left w:val="none" w:sz="0" w:space="0" w:color="auto"/>
                            <w:bottom w:val="none" w:sz="0" w:space="0" w:color="auto"/>
                            <w:right w:val="none" w:sz="0" w:space="0" w:color="auto"/>
                          </w:divBdr>
                          <w:divsChild>
                            <w:div w:id="6588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51763">
      <w:marLeft w:val="0"/>
      <w:marRight w:val="0"/>
      <w:marTop w:val="0"/>
      <w:marBottom w:val="0"/>
      <w:divBdr>
        <w:top w:val="none" w:sz="0" w:space="0" w:color="auto"/>
        <w:left w:val="none" w:sz="0" w:space="0" w:color="auto"/>
        <w:bottom w:val="none" w:sz="0" w:space="0" w:color="auto"/>
        <w:right w:val="none" w:sz="0" w:space="0" w:color="auto"/>
      </w:divBdr>
      <w:divsChild>
        <w:div w:id="658851759">
          <w:marLeft w:val="0"/>
          <w:marRight w:val="0"/>
          <w:marTop w:val="0"/>
          <w:marBottom w:val="0"/>
          <w:divBdr>
            <w:top w:val="none" w:sz="0" w:space="0" w:color="auto"/>
            <w:left w:val="none" w:sz="0" w:space="0" w:color="auto"/>
            <w:bottom w:val="none" w:sz="0" w:space="0" w:color="auto"/>
            <w:right w:val="none" w:sz="0" w:space="0" w:color="auto"/>
          </w:divBdr>
          <w:divsChild>
            <w:div w:id="658851739">
              <w:marLeft w:val="0"/>
              <w:marRight w:val="0"/>
              <w:marTop w:val="0"/>
              <w:marBottom w:val="0"/>
              <w:divBdr>
                <w:top w:val="none" w:sz="0" w:space="0" w:color="auto"/>
                <w:left w:val="none" w:sz="0" w:space="0" w:color="auto"/>
                <w:bottom w:val="none" w:sz="0" w:space="0" w:color="auto"/>
                <w:right w:val="none" w:sz="0" w:space="0" w:color="auto"/>
              </w:divBdr>
              <w:divsChild>
                <w:div w:id="658851753">
                  <w:marLeft w:val="0"/>
                  <w:marRight w:val="0"/>
                  <w:marTop w:val="0"/>
                  <w:marBottom w:val="0"/>
                  <w:divBdr>
                    <w:top w:val="none" w:sz="0" w:space="0" w:color="auto"/>
                    <w:left w:val="none" w:sz="0" w:space="0" w:color="auto"/>
                    <w:bottom w:val="none" w:sz="0" w:space="0" w:color="auto"/>
                    <w:right w:val="none" w:sz="0" w:space="0" w:color="auto"/>
                  </w:divBdr>
                  <w:divsChild>
                    <w:div w:id="658851742">
                      <w:marLeft w:val="0"/>
                      <w:marRight w:val="0"/>
                      <w:marTop w:val="0"/>
                      <w:marBottom w:val="0"/>
                      <w:divBdr>
                        <w:top w:val="none" w:sz="0" w:space="0" w:color="auto"/>
                        <w:left w:val="none" w:sz="0" w:space="0" w:color="auto"/>
                        <w:bottom w:val="none" w:sz="0" w:space="0" w:color="auto"/>
                        <w:right w:val="none" w:sz="0" w:space="0" w:color="auto"/>
                      </w:divBdr>
                      <w:divsChild>
                        <w:div w:id="658851761">
                          <w:marLeft w:val="0"/>
                          <w:marRight w:val="0"/>
                          <w:marTop w:val="0"/>
                          <w:marBottom w:val="0"/>
                          <w:divBdr>
                            <w:top w:val="none" w:sz="0" w:space="0" w:color="auto"/>
                            <w:left w:val="none" w:sz="0" w:space="0" w:color="auto"/>
                            <w:bottom w:val="none" w:sz="0" w:space="0" w:color="auto"/>
                            <w:right w:val="none" w:sz="0" w:space="0" w:color="auto"/>
                          </w:divBdr>
                          <w:divsChild>
                            <w:div w:id="6588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51764">
      <w:marLeft w:val="0"/>
      <w:marRight w:val="0"/>
      <w:marTop w:val="0"/>
      <w:marBottom w:val="0"/>
      <w:divBdr>
        <w:top w:val="none" w:sz="0" w:space="0" w:color="auto"/>
        <w:left w:val="none" w:sz="0" w:space="0" w:color="auto"/>
        <w:bottom w:val="none" w:sz="0" w:space="0" w:color="auto"/>
        <w:right w:val="none" w:sz="0" w:space="0" w:color="auto"/>
      </w:divBdr>
    </w:div>
    <w:div w:id="658851767">
      <w:marLeft w:val="0"/>
      <w:marRight w:val="0"/>
      <w:marTop w:val="0"/>
      <w:marBottom w:val="0"/>
      <w:divBdr>
        <w:top w:val="none" w:sz="0" w:space="0" w:color="auto"/>
        <w:left w:val="none" w:sz="0" w:space="0" w:color="auto"/>
        <w:bottom w:val="none" w:sz="0" w:space="0" w:color="auto"/>
        <w:right w:val="none" w:sz="0" w:space="0" w:color="auto"/>
      </w:divBdr>
    </w:div>
    <w:div w:id="658851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6896</Words>
  <Characters>39311</Characters>
  <Application>Microsoft Office Word</Application>
  <DocSecurity>0</DocSecurity>
  <Lines>327</Lines>
  <Paragraphs>92</Paragraphs>
  <ScaleCrop>false</ScaleCrop>
  <Company/>
  <LinksUpToDate>false</LinksUpToDate>
  <CharactersWithSpaces>46115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2</cp:revision>
  <dcterms:created xsi:type="dcterms:W3CDTF">2015-12-09T18:48:00Z</dcterms:created>
  <dcterms:modified xsi:type="dcterms:W3CDTF">2015-12-10T19:50:00Z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