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8BA" w:rsidRPr="001D664C" w:rsidRDefault="004E38BA" w:rsidP="004E38BA">
      <w:pPr>
        <w:spacing w:line="276" w:lineRule="auto"/>
        <w:rPr>
          <w:rFonts w:eastAsia="Times New Roman" w:cs="Arial"/>
          <w:b/>
          <w:color w:val="000000"/>
          <w:sz w:val="28"/>
          <w:szCs w:val="28"/>
        </w:rPr>
      </w:pPr>
      <w:r w:rsidRPr="001D664C">
        <w:rPr>
          <w:rFonts w:eastAsia="Times New Roman" w:cs="Arial"/>
          <w:b/>
          <w:color w:val="000000"/>
          <w:sz w:val="28"/>
          <w:szCs w:val="28"/>
        </w:rPr>
        <w:t>UNIUNEA NAŢIONALĂ A BAROURILOR DIN ROMÂNIA</w:t>
      </w:r>
    </w:p>
    <w:p w:rsidR="004E38BA" w:rsidRPr="001D664C" w:rsidRDefault="004E38BA" w:rsidP="004E38BA">
      <w:pPr>
        <w:spacing w:line="276" w:lineRule="auto"/>
        <w:rPr>
          <w:rFonts w:eastAsia="Times New Roman" w:cs="Arial"/>
          <w:b/>
          <w:color w:val="000000"/>
          <w:sz w:val="28"/>
          <w:szCs w:val="28"/>
        </w:rPr>
      </w:pPr>
      <w:r w:rsidRPr="001D664C">
        <w:rPr>
          <w:rFonts w:eastAsia="Times New Roman" w:cs="Arial"/>
          <w:b/>
          <w:color w:val="000000"/>
          <w:sz w:val="28"/>
          <w:szCs w:val="28"/>
        </w:rPr>
        <w:t xml:space="preserve">CONGRESUL AVOCAŢILOR </w:t>
      </w:r>
    </w:p>
    <w:p w:rsidR="004E38BA" w:rsidRPr="001D664C" w:rsidRDefault="004E38BA" w:rsidP="004E38BA">
      <w:pPr>
        <w:spacing w:line="276" w:lineRule="auto"/>
        <w:rPr>
          <w:rFonts w:eastAsia="Times New Roman" w:cs="Arial"/>
          <w:b/>
          <w:color w:val="000000"/>
          <w:sz w:val="28"/>
          <w:szCs w:val="28"/>
        </w:rPr>
      </w:pPr>
      <w:r w:rsidRPr="001D664C">
        <w:rPr>
          <w:rFonts w:eastAsia="Times New Roman" w:cs="Arial"/>
          <w:b/>
          <w:color w:val="000000"/>
          <w:sz w:val="28"/>
          <w:szCs w:val="28"/>
        </w:rPr>
        <w:t>BUCUREŞTI, 25 – 26 MARTIE 2016</w:t>
      </w:r>
    </w:p>
    <w:p w:rsidR="00B208EA" w:rsidRPr="001D664C" w:rsidRDefault="00B208EA" w:rsidP="009369EB">
      <w:pPr>
        <w:jc w:val="center"/>
        <w:rPr>
          <w:rFonts w:cs="Arial"/>
          <w:b/>
          <w:sz w:val="28"/>
          <w:szCs w:val="28"/>
        </w:rPr>
      </w:pPr>
    </w:p>
    <w:p w:rsidR="00B208EA" w:rsidRPr="001D664C" w:rsidRDefault="00B208EA" w:rsidP="009369EB">
      <w:pPr>
        <w:jc w:val="center"/>
        <w:rPr>
          <w:rFonts w:cs="Arial"/>
          <w:b/>
          <w:sz w:val="28"/>
          <w:szCs w:val="28"/>
        </w:rPr>
      </w:pPr>
    </w:p>
    <w:p w:rsidR="00B208EA" w:rsidRPr="001D664C" w:rsidRDefault="00B208EA" w:rsidP="009369EB">
      <w:pPr>
        <w:jc w:val="center"/>
        <w:rPr>
          <w:rFonts w:cs="Arial"/>
          <w:b/>
          <w:sz w:val="28"/>
          <w:szCs w:val="28"/>
        </w:rPr>
      </w:pPr>
    </w:p>
    <w:p w:rsidR="00B208EA" w:rsidRPr="001D664C" w:rsidRDefault="00B208EA" w:rsidP="009369EB">
      <w:pPr>
        <w:jc w:val="center"/>
        <w:rPr>
          <w:rFonts w:cs="Arial"/>
          <w:b/>
          <w:sz w:val="28"/>
          <w:szCs w:val="28"/>
        </w:rPr>
      </w:pPr>
      <w:r w:rsidRPr="001D664C">
        <w:rPr>
          <w:rFonts w:cs="Arial"/>
          <w:b/>
          <w:sz w:val="28"/>
          <w:szCs w:val="28"/>
        </w:rPr>
        <w:t>HOT</w:t>
      </w:r>
      <w:r w:rsidR="00DA3B15" w:rsidRPr="001D664C">
        <w:rPr>
          <w:rFonts w:cs="Arial"/>
          <w:b/>
          <w:sz w:val="28"/>
          <w:szCs w:val="28"/>
        </w:rPr>
        <w:t>Ă</w:t>
      </w:r>
      <w:r w:rsidRPr="001D664C">
        <w:rPr>
          <w:rFonts w:cs="Arial"/>
          <w:b/>
          <w:sz w:val="28"/>
          <w:szCs w:val="28"/>
        </w:rPr>
        <w:t>R</w:t>
      </w:r>
      <w:r w:rsidR="00DA3B15" w:rsidRPr="001D664C">
        <w:rPr>
          <w:rFonts w:cs="Arial"/>
          <w:b/>
          <w:sz w:val="28"/>
          <w:szCs w:val="28"/>
        </w:rPr>
        <w:t>Â</w:t>
      </w:r>
      <w:r w:rsidRPr="001D664C">
        <w:rPr>
          <w:rFonts w:cs="Arial"/>
          <w:b/>
          <w:sz w:val="28"/>
          <w:szCs w:val="28"/>
        </w:rPr>
        <w:t>RE</w:t>
      </w:r>
      <w:r w:rsidR="00415180" w:rsidRPr="001D664C">
        <w:rPr>
          <w:rFonts w:cs="Arial"/>
          <w:b/>
          <w:sz w:val="28"/>
          <w:szCs w:val="28"/>
        </w:rPr>
        <w:t xml:space="preserve">A NR. </w:t>
      </w:r>
      <w:r w:rsidR="0088597A">
        <w:rPr>
          <w:rFonts w:cs="Arial"/>
          <w:b/>
          <w:sz w:val="28"/>
          <w:szCs w:val="28"/>
        </w:rPr>
        <w:t>09</w:t>
      </w:r>
    </w:p>
    <w:p w:rsidR="00B208EA" w:rsidRPr="001D664C" w:rsidRDefault="00B208EA" w:rsidP="009369EB">
      <w:pPr>
        <w:jc w:val="center"/>
        <w:rPr>
          <w:rFonts w:cs="Arial"/>
          <w:b/>
          <w:sz w:val="28"/>
          <w:szCs w:val="28"/>
        </w:rPr>
      </w:pPr>
    </w:p>
    <w:p w:rsidR="00B208EA" w:rsidRPr="001D664C" w:rsidRDefault="00B208EA" w:rsidP="009369EB">
      <w:pPr>
        <w:jc w:val="center"/>
        <w:rPr>
          <w:rFonts w:cs="Arial"/>
          <w:sz w:val="28"/>
          <w:szCs w:val="28"/>
        </w:rPr>
      </w:pPr>
    </w:p>
    <w:p w:rsidR="004E38BA" w:rsidRPr="001D664C" w:rsidRDefault="004E38BA" w:rsidP="004E38BA">
      <w:pPr>
        <w:ind w:firstLine="708"/>
        <w:jc w:val="both"/>
        <w:rPr>
          <w:rFonts w:cs="Arial"/>
          <w:i/>
        </w:rPr>
      </w:pPr>
      <w:r w:rsidRPr="001D664C">
        <w:rPr>
          <w:rFonts w:cs="Arial"/>
          <w:i/>
        </w:rPr>
        <w:t xml:space="preserve">Congresul </w:t>
      </w:r>
      <w:r w:rsidR="00015514" w:rsidRPr="001D664C">
        <w:rPr>
          <w:rFonts w:cs="Arial"/>
          <w:i/>
        </w:rPr>
        <w:t>Avocaților</w:t>
      </w:r>
      <w:r w:rsidRPr="001D664C">
        <w:rPr>
          <w:rFonts w:cs="Arial"/>
          <w:i/>
        </w:rPr>
        <w:t xml:space="preserve">, întrunit la 25 – 26 martie 2016 în </w:t>
      </w:r>
      <w:r w:rsidR="00015514" w:rsidRPr="001D664C">
        <w:rPr>
          <w:rFonts w:cs="Arial"/>
          <w:i/>
        </w:rPr>
        <w:t>București</w:t>
      </w:r>
      <w:r w:rsidRPr="001D664C">
        <w:rPr>
          <w:rFonts w:cs="Arial"/>
          <w:i/>
        </w:rPr>
        <w:t xml:space="preserve">, constituit în conformitate cu </w:t>
      </w:r>
      <w:r w:rsidR="00015514" w:rsidRPr="001D664C">
        <w:rPr>
          <w:rFonts w:cs="Arial"/>
          <w:i/>
        </w:rPr>
        <w:t>dispozițiile</w:t>
      </w:r>
      <w:r w:rsidRPr="001D664C">
        <w:rPr>
          <w:rFonts w:cs="Arial"/>
          <w:i/>
        </w:rPr>
        <w:t xml:space="preserve"> art. 62 alin. (1) din Legea nr. 51/1995 pentru organizarea </w:t>
      </w:r>
      <w:r w:rsidR="00015514" w:rsidRPr="001D664C">
        <w:rPr>
          <w:rFonts w:cs="Arial"/>
          <w:i/>
        </w:rPr>
        <w:t>și</w:t>
      </w:r>
      <w:r w:rsidRPr="001D664C">
        <w:rPr>
          <w:rFonts w:cs="Arial"/>
          <w:i/>
        </w:rPr>
        <w:t xml:space="preserve"> exercitarea profesiei de avocat, republicată, cu modificările </w:t>
      </w:r>
      <w:r w:rsidR="00015514" w:rsidRPr="001D664C">
        <w:rPr>
          <w:rFonts w:cs="Arial"/>
          <w:i/>
        </w:rPr>
        <w:t>și</w:t>
      </w:r>
      <w:r w:rsidRPr="001D664C">
        <w:rPr>
          <w:rFonts w:cs="Arial"/>
          <w:i/>
        </w:rPr>
        <w:t xml:space="preserve"> completările ulterioare, precum </w:t>
      </w:r>
      <w:r w:rsidR="00015514" w:rsidRPr="001D664C">
        <w:rPr>
          <w:rFonts w:cs="Arial"/>
          <w:i/>
        </w:rPr>
        <w:t>și</w:t>
      </w:r>
      <w:r w:rsidRPr="001D664C">
        <w:rPr>
          <w:rFonts w:cs="Arial"/>
          <w:i/>
        </w:rPr>
        <w:t xml:space="preserve"> ale art. 15 alin. (3) din Regulamentul de organizare </w:t>
      </w:r>
      <w:r w:rsidR="00015514" w:rsidRPr="001D664C">
        <w:rPr>
          <w:rFonts w:cs="Arial"/>
          <w:i/>
        </w:rPr>
        <w:t>și</w:t>
      </w:r>
      <w:r w:rsidRPr="001D664C">
        <w:rPr>
          <w:rFonts w:cs="Arial"/>
          <w:i/>
        </w:rPr>
        <w:t xml:space="preserve"> </w:t>
      </w:r>
      <w:r w:rsidR="00015514" w:rsidRPr="001D664C">
        <w:rPr>
          <w:rFonts w:cs="Arial"/>
          <w:i/>
        </w:rPr>
        <w:t>funcționare</w:t>
      </w:r>
      <w:r w:rsidRPr="001D664C">
        <w:rPr>
          <w:rFonts w:cs="Arial"/>
          <w:i/>
        </w:rPr>
        <w:t xml:space="preserve"> a </w:t>
      </w:r>
      <w:r w:rsidR="00015514">
        <w:rPr>
          <w:rFonts w:cs="Arial"/>
          <w:i/>
        </w:rPr>
        <w:t>Uniunii Naționale a Barourilor din România (</w:t>
      </w:r>
      <w:r w:rsidRPr="001D664C">
        <w:rPr>
          <w:rFonts w:cs="Arial"/>
          <w:i/>
        </w:rPr>
        <w:t>U.N.B.R.</w:t>
      </w:r>
      <w:r w:rsidR="00015514">
        <w:rPr>
          <w:rFonts w:cs="Arial"/>
          <w:i/>
        </w:rPr>
        <w:t>)</w:t>
      </w:r>
      <w:r w:rsidRPr="001D664C">
        <w:rPr>
          <w:rFonts w:cs="Arial"/>
          <w:i/>
        </w:rPr>
        <w:t xml:space="preserve"> </w:t>
      </w:r>
      <w:r w:rsidR="00015514" w:rsidRPr="001D664C">
        <w:rPr>
          <w:rFonts w:cs="Arial"/>
          <w:i/>
        </w:rPr>
        <w:t>și</w:t>
      </w:r>
      <w:r w:rsidRPr="001D664C">
        <w:rPr>
          <w:rFonts w:cs="Arial"/>
          <w:i/>
        </w:rPr>
        <w:t xml:space="preserve"> de </w:t>
      </w:r>
      <w:r w:rsidR="00015514" w:rsidRPr="001D664C">
        <w:rPr>
          <w:rFonts w:cs="Arial"/>
          <w:i/>
        </w:rPr>
        <w:t>desfășurare</w:t>
      </w:r>
      <w:r w:rsidRPr="001D664C">
        <w:rPr>
          <w:rFonts w:cs="Arial"/>
          <w:i/>
        </w:rPr>
        <w:t xml:space="preserve"> a </w:t>
      </w:r>
      <w:r w:rsidR="00015514" w:rsidRPr="001D664C">
        <w:rPr>
          <w:rFonts w:cs="Arial"/>
          <w:i/>
        </w:rPr>
        <w:t>ședințelor</w:t>
      </w:r>
      <w:r w:rsidRPr="001D664C">
        <w:rPr>
          <w:rFonts w:cs="Arial"/>
          <w:i/>
        </w:rPr>
        <w:t xml:space="preserve"> Consiliului </w:t>
      </w:r>
      <w:r w:rsidRPr="00015514">
        <w:rPr>
          <w:rFonts w:cs="Arial"/>
          <w:i/>
        </w:rPr>
        <w:t>U.N.B.R.</w:t>
      </w:r>
      <w:r w:rsidRPr="001D664C">
        <w:rPr>
          <w:rFonts w:cs="Arial"/>
          <w:i/>
        </w:rPr>
        <w:t>,</w:t>
      </w:r>
    </w:p>
    <w:p w:rsidR="00B208EA" w:rsidRPr="001D664C" w:rsidRDefault="00B208EA" w:rsidP="009A036D">
      <w:pPr>
        <w:ind w:firstLine="708"/>
        <w:jc w:val="both"/>
        <w:rPr>
          <w:rFonts w:cs="Arial"/>
          <w:i/>
        </w:rPr>
      </w:pPr>
      <w:r w:rsidRPr="001D664C">
        <w:rPr>
          <w:rFonts w:cs="Arial"/>
          <w:i/>
        </w:rPr>
        <w:t xml:space="preserve">Luând în examinare materialele scrise transmise Congresului de delegații care au propus adoptarea de hotărâri, </w:t>
      </w:r>
      <w:r w:rsidR="00015514" w:rsidRPr="001D664C">
        <w:rPr>
          <w:rFonts w:cs="Arial"/>
          <w:i/>
        </w:rPr>
        <w:t>rezoluții</w:t>
      </w:r>
      <w:r w:rsidR="00702C8E" w:rsidRPr="001D664C">
        <w:rPr>
          <w:rFonts w:cs="Arial"/>
          <w:i/>
        </w:rPr>
        <w:t>, apeluri</w:t>
      </w:r>
      <w:r w:rsidRPr="001D664C">
        <w:rPr>
          <w:rFonts w:cs="Arial"/>
          <w:i/>
        </w:rPr>
        <w:t xml:space="preserve"> privitoare la </w:t>
      </w:r>
      <w:r w:rsidR="00F65C34" w:rsidRPr="00F65C34">
        <w:rPr>
          <w:rFonts w:cs="Arial"/>
          <w:i/>
        </w:rPr>
        <w:t>modificare</w:t>
      </w:r>
      <w:r w:rsidR="00F65C34">
        <w:rPr>
          <w:rFonts w:cs="Arial"/>
          <w:i/>
        </w:rPr>
        <w:t>a</w:t>
      </w:r>
      <w:bookmarkStart w:id="0" w:name="_GoBack"/>
      <w:bookmarkEnd w:id="0"/>
      <w:r w:rsidR="00F65C34" w:rsidRPr="00F65C34">
        <w:rPr>
          <w:rFonts w:cs="Arial"/>
          <w:i/>
        </w:rPr>
        <w:t xml:space="preserve"> directă de către Congres a unor acte cu caracter infra-parlamentar care intră în competența Congresului dar și </w:t>
      </w:r>
      <w:r w:rsidR="00F65C34">
        <w:rPr>
          <w:rFonts w:cs="Arial"/>
          <w:i/>
        </w:rPr>
        <w:t xml:space="preserve">a </w:t>
      </w:r>
      <w:r w:rsidR="00F65C34" w:rsidRPr="00F65C34">
        <w:rPr>
          <w:rFonts w:cs="Arial"/>
          <w:i/>
        </w:rPr>
        <w:t>unor acte normative cu impact asupra profesiei de avocat</w:t>
      </w:r>
      <w:r w:rsidRPr="001D664C">
        <w:rPr>
          <w:rFonts w:cs="Arial"/>
          <w:i/>
        </w:rPr>
        <w:t xml:space="preserve">, </w:t>
      </w:r>
    </w:p>
    <w:p w:rsidR="00B208EA" w:rsidRPr="001D664C" w:rsidRDefault="00B208EA" w:rsidP="009A036D">
      <w:pPr>
        <w:ind w:firstLine="708"/>
        <w:jc w:val="both"/>
        <w:rPr>
          <w:rFonts w:cs="Arial"/>
          <w:i/>
        </w:rPr>
      </w:pPr>
      <w:r w:rsidRPr="001D664C">
        <w:rPr>
          <w:rFonts w:cs="Arial"/>
          <w:i/>
        </w:rPr>
        <w:t>în aplicarea dispozițiilor art. 64 alin.(2) din Legea nr. 51/1995 pentru organizarea și exercitarea profesiei de avocat,</w:t>
      </w:r>
    </w:p>
    <w:p w:rsidR="00B208EA" w:rsidRPr="001D664C" w:rsidRDefault="00B208EA" w:rsidP="00166577">
      <w:pPr>
        <w:jc w:val="center"/>
        <w:rPr>
          <w:rFonts w:cs="Arial"/>
          <w:sz w:val="28"/>
          <w:szCs w:val="28"/>
        </w:rPr>
      </w:pPr>
    </w:p>
    <w:p w:rsidR="00166577" w:rsidRPr="001D664C" w:rsidRDefault="00166577" w:rsidP="00166577">
      <w:pPr>
        <w:jc w:val="center"/>
        <w:rPr>
          <w:rFonts w:cs="Arial"/>
          <w:sz w:val="28"/>
          <w:szCs w:val="28"/>
        </w:rPr>
      </w:pPr>
    </w:p>
    <w:p w:rsidR="00B208EA" w:rsidRPr="001D664C" w:rsidRDefault="004E38BA" w:rsidP="00166577">
      <w:pPr>
        <w:jc w:val="center"/>
        <w:rPr>
          <w:rFonts w:cs="Arial"/>
          <w:b/>
          <w:sz w:val="28"/>
          <w:szCs w:val="28"/>
        </w:rPr>
      </w:pPr>
      <w:r w:rsidRPr="001D664C">
        <w:rPr>
          <w:rFonts w:cs="Arial"/>
          <w:b/>
          <w:sz w:val="28"/>
          <w:szCs w:val="28"/>
        </w:rPr>
        <w:t>HOTĂRĂȘTE:</w:t>
      </w:r>
    </w:p>
    <w:p w:rsidR="00B208EA" w:rsidRPr="001D664C" w:rsidRDefault="00B208EA" w:rsidP="00166577">
      <w:pPr>
        <w:jc w:val="center"/>
        <w:rPr>
          <w:rFonts w:cs="Arial"/>
          <w:sz w:val="28"/>
          <w:szCs w:val="28"/>
        </w:rPr>
      </w:pPr>
    </w:p>
    <w:p w:rsidR="00166577" w:rsidRPr="001D664C" w:rsidRDefault="00166577" w:rsidP="00166577">
      <w:pPr>
        <w:jc w:val="center"/>
        <w:rPr>
          <w:rFonts w:cs="Arial"/>
          <w:sz w:val="28"/>
          <w:szCs w:val="28"/>
        </w:rPr>
      </w:pPr>
    </w:p>
    <w:p w:rsidR="00B208EA" w:rsidRPr="001D664C" w:rsidRDefault="00B208EA" w:rsidP="00D97F42">
      <w:pPr>
        <w:pStyle w:val="ListParagraph"/>
        <w:ind w:left="708"/>
        <w:jc w:val="both"/>
        <w:rPr>
          <w:rFonts w:cs="Arial"/>
        </w:rPr>
      </w:pPr>
      <w:r w:rsidRPr="001D664C">
        <w:rPr>
          <w:rFonts w:cs="Arial"/>
          <w:b/>
        </w:rPr>
        <w:t xml:space="preserve">I. Cu privire la activitatea de conducere a profesiei de avocat </w:t>
      </w:r>
    </w:p>
    <w:p w:rsidR="00B208EA" w:rsidRPr="001D664C" w:rsidRDefault="00B208EA" w:rsidP="00D97F42">
      <w:pPr>
        <w:pStyle w:val="ListParagraph"/>
        <w:ind w:left="708"/>
        <w:jc w:val="both"/>
        <w:rPr>
          <w:rFonts w:cs="Arial"/>
        </w:rPr>
      </w:pPr>
      <w:r w:rsidRPr="001D664C">
        <w:rPr>
          <w:rFonts w:cs="Arial"/>
        </w:rPr>
        <w:tab/>
      </w:r>
    </w:p>
    <w:p w:rsidR="00B208EA" w:rsidRPr="001D664C" w:rsidRDefault="00AA5E12" w:rsidP="00AA5E12">
      <w:pPr>
        <w:pStyle w:val="ListParagraph"/>
        <w:ind w:left="0"/>
        <w:jc w:val="both"/>
        <w:rPr>
          <w:rFonts w:cs="Arial"/>
        </w:rPr>
      </w:pPr>
      <w:r w:rsidRPr="001D664C">
        <w:rPr>
          <w:rFonts w:cs="Arial"/>
        </w:rPr>
        <w:tab/>
        <w:t>Art. 1. Se ia act de p</w:t>
      </w:r>
      <w:r w:rsidR="00B208EA" w:rsidRPr="001D664C">
        <w:rPr>
          <w:rFonts w:cs="Arial"/>
        </w:rPr>
        <w:t>ropunerile privind</w:t>
      </w:r>
      <w:r w:rsidRPr="001D664C">
        <w:rPr>
          <w:rFonts w:cs="Arial"/>
        </w:rPr>
        <w:t xml:space="preserve"> următoarele</w:t>
      </w:r>
      <w:r w:rsidR="00B208EA" w:rsidRPr="001D664C">
        <w:rPr>
          <w:rFonts w:cs="Arial"/>
        </w:rPr>
        <w:t>:</w:t>
      </w:r>
    </w:p>
    <w:p w:rsidR="00E27CFB" w:rsidRPr="001D664C" w:rsidRDefault="00EE3DDA" w:rsidP="00BF581C">
      <w:pPr>
        <w:pStyle w:val="ListParagraph"/>
        <w:numPr>
          <w:ilvl w:val="1"/>
          <w:numId w:val="4"/>
        </w:numPr>
        <w:tabs>
          <w:tab w:val="left" w:pos="1701"/>
        </w:tabs>
        <w:ind w:left="1134" w:firstLine="284"/>
        <w:jc w:val="both"/>
        <w:rPr>
          <w:rFonts w:cs="Arial"/>
        </w:rPr>
      </w:pPr>
      <w:r w:rsidRPr="001D664C">
        <w:rPr>
          <w:rFonts w:cs="Arial"/>
        </w:rPr>
        <w:t xml:space="preserve">modificarea </w:t>
      </w:r>
      <w:r w:rsidR="00015514" w:rsidRPr="001D664C">
        <w:rPr>
          <w:rFonts w:cs="Arial"/>
        </w:rPr>
        <w:t>și</w:t>
      </w:r>
      <w:r w:rsidRPr="001D664C">
        <w:rPr>
          <w:rFonts w:cs="Arial"/>
        </w:rPr>
        <w:t xml:space="preserve"> completarea prevederilor Legii nr. 51/1995, depuse în preziua Congresului </w:t>
      </w:r>
      <w:r w:rsidR="00015514">
        <w:rPr>
          <w:rFonts w:cs="Arial"/>
        </w:rPr>
        <w:t>a</w:t>
      </w:r>
      <w:r w:rsidR="00015514" w:rsidRPr="001D664C">
        <w:rPr>
          <w:rFonts w:cs="Arial"/>
        </w:rPr>
        <w:t>vocaților</w:t>
      </w:r>
      <w:r w:rsidRPr="001D664C">
        <w:rPr>
          <w:rFonts w:cs="Arial"/>
        </w:rPr>
        <w:t xml:space="preserve"> sau în Congres de </w:t>
      </w:r>
      <w:r w:rsidR="00015514" w:rsidRPr="001D664C">
        <w:rPr>
          <w:rFonts w:cs="Arial"/>
        </w:rPr>
        <w:t>delegați</w:t>
      </w:r>
      <w:r w:rsidR="00F228E6" w:rsidRPr="001D664C">
        <w:rPr>
          <w:rFonts w:cs="Arial"/>
        </w:rPr>
        <w:t>;</w:t>
      </w:r>
    </w:p>
    <w:p w:rsidR="00EE3DDA" w:rsidRPr="001D664C" w:rsidRDefault="00EE3DDA" w:rsidP="00EE3DDA">
      <w:pPr>
        <w:pStyle w:val="ListParagraph"/>
        <w:numPr>
          <w:ilvl w:val="1"/>
          <w:numId w:val="4"/>
        </w:numPr>
        <w:tabs>
          <w:tab w:val="left" w:pos="1701"/>
        </w:tabs>
        <w:ind w:left="1134" w:firstLine="284"/>
        <w:jc w:val="both"/>
        <w:rPr>
          <w:rFonts w:cs="Arial"/>
        </w:rPr>
      </w:pPr>
      <w:r w:rsidRPr="001D664C">
        <w:rPr>
          <w:rFonts w:cs="Arial"/>
        </w:rPr>
        <w:t xml:space="preserve">modificarea </w:t>
      </w:r>
      <w:r w:rsidR="00015514" w:rsidRPr="001D664C">
        <w:rPr>
          <w:rFonts w:cs="Arial"/>
        </w:rPr>
        <w:t>și</w:t>
      </w:r>
      <w:r w:rsidRPr="001D664C">
        <w:rPr>
          <w:rFonts w:cs="Arial"/>
        </w:rPr>
        <w:t xml:space="preserve"> completarea prevederilor Statutului profesiei de avocat depuse în preziua Congresului </w:t>
      </w:r>
      <w:r w:rsidR="00015514">
        <w:rPr>
          <w:rFonts w:cs="Arial"/>
        </w:rPr>
        <w:t>a</w:t>
      </w:r>
      <w:r w:rsidR="00015514" w:rsidRPr="001D664C">
        <w:rPr>
          <w:rFonts w:cs="Arial"/>
        </w:rPr>
        <w:t>vocaților</w:t>
      </w:r>
      <w:r w:rsidRPr="001D664C">
        <w:rPr>
          <w:rFonts w:cs="Arial"/>
        </w:rPr>
        <w:t xml:space="preserve"> sau în Congres de </w:t>
      </w:r>
      <w:r w:rsidR="00015514" w:rsidRPr="001D664C">
        <w:rPr>
          <w:rFonts w:cs="Arial"/>
        </w:rPr>
        <w:t>delegați</w:t>
      </w:r>
      <w:r w:rsidRPr="001D664C">
        <w:rPr>
          <w:rFonts w:cs="Arial"/>
        </w:rPr>
        <w:t>;</w:t>
      </w:r>
    </w:p>
    <w:p w:rsidR="00E27CFB" w:rsidRPr="001D664C" w:rsidRDefault="00FB4604" w:rsidP="00BF581C">
      <w:pPr>
        <w:pStyle w:val="ListParagraph"/>
        <w:numPr>
          <w:ilvl w:val="1"/>
          <w:numId w:val="4"/>
        </w:numPr>
        <w:tabs>
          <w:tab w:val="left" w:pos="1701"/>
        </w:tabs>
        <w:ind w:left="1134" w:firstLine="284"/>
        <w:jc w:val="both"/>
        <w:rPr>
          <w:rFonts w:cs="Arial"/>
        </w:rPr>
      </w:pPr>
      <w:r w:rsidRPr="001D664C">
        <w:rPr>
          <w:rFonts w:cs="Arial"/>
        </w:rPr>
        <w:t>r</w:t>
      </w:r>
      <w:r w:rsidR="00EE3DDA" w:rsidRPr="001D664C">
        <w:rPr>
          <w:rFonts w:cs="Arial"/>
        </w:rPr>
        <w:t xml:space="preserve">enegocierea </w:t>
      </w:r>
      <w:r w:rsidR="00E27CFB" w:rsidRPr="001D664C">
        <w:rPr>
          <w:rFonts w:cs="Arial"/>
        </w:rPr>
        <w:t xml:space="preserve">Protocolului încheiat între </w:t>
      </w:r>
      <w:r w:rsidR="00015514" w:rsidRPr="00015514">
        <w:rPr>
          <w:rFonts w:cs="Arial"/>
        </w:rPr>
        <w:t>U.N.B.R.</w:t>
      </w:r>
      <w:r w:rsidR="00E27CFB" w:rsidRPr="001D664C">
        <w:rPr>
          <w:rFonts w:cs="Arial"/>
        </w:rPr>
        <w:t xml:space="preserve"> </w:t>
      </w:r>
      <w:r w:rsidR="00015514" w:rsidRPr="001D664C">
        <w:rPr>
          <w:rFonts w:cs="Arial"/>
        </w:rPr>
        <w:t>și</w:t>
      </w:r>
      <w:r w:rsidR="00E27CFB" w:rsidRPr="001D664C">
        <w:rPr>
          <w:rFonts w:cs="Arial"/>
        </w:rPr>
        <w:t xml:space="preserve"> Ministerul</w:t>
      </w:r>
      <w:r w:rsidR="00015514">
        <w:rPr>
          <w:rFonts w:cs="Arial"/>
        </w:rPr>
        <w:t xml:space="preserve"> </w:t>
      </w:r>
      <w:r w:rsidR="00015514" w:rsidRPr="001D664C">
        <w:rPr>
          <w:rFonts w:cs="Arial"/>
        </w:rPr>
        <w:t>Justiției</w:t>
      </w:r>
      <w:r w:rsidR="00E27CFB" w:rsidRPr="001D664C">
        <w:rPr>
          <w:rFonts w:cs="Arial"/>
        </w:rPr>
        <w:t xml:space="preserve"> referitor la onorariile pentru </w:t>
      </w:r>
      <w:r w:rsidR="00015514" w:rsidRPr="001D664C">
        <w:rPr>
          <w:rFonts w:cs="Arial"/>
        </w:rPr>
        <w:t>prestațiile</w:t>
      </w:r>
      <w:r w:rsidR="00E27CFB" w:rsidRPr="001D664C">
        <w:rPr>
          <w:rFonts w:cs="Arial"/>
        </w:rPr>
        <w:t xml:space="preserve"> din oficiu ale </w:t>
      </w:r>
      <w:r w:rsidR="00015514" w:rsidRPr="001D664C">
        <w:rPr>
          <w:rFonts w:cs="Arial"/>
        </w:rPr>
        <w:t>avocaților</w:t>
      </w:r>
      <w:r w:rsidRPr="001D664C">
        <w:rPr>
          <w:rFonts w:cs="Arial"/>
        </w:rPr>
        <w:t xml:space="preserve"> (majorarea onorariilor din oficiu, stabilirea unui plafon minim de 50% de acordare a onorariului pentru cazul în care se prezintă avocat ales, eliminarea limitei maxime a onorariilor, includerea onorariilor pentru curatela specială în același protocol, imposibilitatea reducerii onorariilor de către </w:t>
      </w:r>
      <w:r w:rsidR="00015514" w:rsidRPr="001D664C">
        <w:rPr>
          <w:rFonts w:cs="Arial"/>
        </w:rPr>
        <w:t>instanțele</w:t>
      </w:r>
      <w:r w:rsidRPr="001D664C">
        <w:rPr>
          <w:rFonts w:cs="Arial"/>
        </w:rPr>
        <w:t xml:space="preserve"> de judecată)</w:t>
      </w:r>
      <w:r w:rsidR="00EE3DDA" w:rsidRPr="001D664C">
        <w:rPr>
          <w:rFonts w:cs="Arial"/>
        </w:rPr>
        <w:t>;</w:t>
      </w:r>
    </w:p>
    <w:p w:rsidR="00E27CFB" w:rsidRPr="001D664C" w:rsidRDefault="00EE3DDA" w:rsidP="00BF581C">
      <w:pPr>
        <w:pStyle w:val="ListParagraph"/>
        <w:numPr>
          <w:ilvl w:val="1"/>
          <w:numId w:val="4"/>
        </w:numPr>
        <w:tabs>
          <w:tab w:val="left" w:pos="1701"/>
        </w:tabs>
        <w:ind w:left="1134" w:firstLine="284"/>
        <w:jc w:val="both"/>
        <w:rPr>
          <w:rFonts w:cs="Arial"/>
        </w:rPr>
      </w:pPr>
      <w:r w:rsidRPr="001D664C">
        <w:rPr>
          <w:rFonts w:cs="Arial"/>
        </w:rPr>
        <w:t>s</w:t>
      </w:r>
      <w:r w:rsidR="00E27CFB" w:rsidRPr="001D664C">
        <w:rPr>
          <w:rFonts w:cs="Arial"/>
        </w:rPr>
        <w:t xml:space="preserve">emnarea de către </w:t>
      </w:r>
      <w:r w:rsidR="00015514" w:rsidRPr="00015514">
        <w:rPr>
          <w:rFonts w:cs="Arial"/>
        </w:rPr>
        <w:t>U.N.B.R.</w:t>
      </w:r>
      <w:r w:rsidR="00E27CFB" w:rsidRPr="001D664C">
        <w:rPr>
          <w:rFonts w:cs="Arial"/>
        </w:rPr>
        <w:t xml:space="preserve"> </w:t>
      </w:r>
      <w:r w:rsidR="00015514" w:rsidRPr="001D664C">
        <w:rPr>
          <w:rFonts w:cs="Arial"/>
        </w:rPr>
        <w:t>și</w:t>
      </w:r>
      <w:r w:rsidR="00E27CFB" w:rsidRPr="001D664C">
        <w:rPr>
          <w:rFonts w:cs="Arial"/>
        </w:rPr>
        <w:t xml:space="preserve"> C</w:t>
      </w:r>
      <w:r w:rsidR="00015514">
        <w:rPr>
          <w:rFonts w:cs="Arial"/>
        </w:rPr>
        <w:t>onsiliul Superior al Magistraturii (C.</w:t>
      </w:r>
      <w:r w:rsidR="00E27CFB" w:rsidRPr="001D664C">
        <w:rPr>
          <w:rFonts w:cs="Arial"/>
        </w:rPr>
        <w:t>S</w:t>
      </w:r>
      <w:r w:rsidR="00015514">
        <w:rPr>
          <w:rFonts w:cs="Arial"/>
        </w:rPr>
        <w:t>.</w:t>
      </w:r>
      <w:r w:rsidR="00E27CFB" w:rsidRPr="001D664C">
        <w:rPr>
          <w:rFonts w:cs="Arial"/>
        </w:rPr>
        <w:t>M</w:t>
      </w:r>
      <w:r w:rsidR="00015514">
        <w:rPr>
          <w:rFonts w:cs="Arial"/>
        </w:rPr>
        <w:t>.)</w:t>
      </w:r>
      <w:r w:rsidR="00E27CFB" w:rsidRPr="001D664C">
        <w:rPr>
          <w:rFonts w:cs="Arial"/>
        </w:rPr>
        <w:t xml:space="preserve"> a unui Ghid de bune practici, după modelul promovat de Baroul Cluj;</w:t>
      </w:r>
    </w:p>
    <w:p w:rsidR="00B208EA" w:rsidRPr="001D664C" w:rsidRDefault="004E38BA" w:rsidP="00BF581C">
      <w:pPr>
        <w:pStyle w:val="ListParagraph"/>
        <w:numPr>
          <w:ilvl w:val="1"/>
          <w:numId w:val="4"/>
        </w:numPr>
        <w:tabs>
          <w:tab w:val="left" w:pos="1701"/>
        </w:tabs>
        <w:ind w:left="1134" w:firstLine="284"/>
        <w:jc w:val="both"/>
        <w:rPr>
          <w:rFonts w:cs="Arial"/>
        </w:rPr>
      </w:pPr>
      <w:r w:rsidRPr="001D664C">
        <w:rPr>
          <w:rFonts w:cs="Arial"/>
        </w:rPr>
        <w:t xml:space="preserve">adoptarea unei </w:t>
      </w:r>
      <w:r w:rsidR="00015514" w:rsidRPr="001D664C">
        <w:rPr>
          <w:rFonts w:cs="Arial"/>
        </w:rPr>
        <w:t>moțiuni</w:t>
      </w:r>
      <w:r w:rsidRPr="001D664C">
        <w:rPr>
          <w:rFonts w:cs="Arial"/>
        </w:rPr>
        <w:t xml:space="preserve"> privind declararea </w:t>
      </w:r>
      <w:r w:rsidR="00015514" w:rsidRPr="001D664C">
        <w:rPr>
          <w:rFonts w:cs="Arial"/>
        </w:rPr>
        <w:t>solidarității</w:t>
      </w:r>
      <w:r w:rsidRPr="001D664C">
        <w:rPr>
          <w:rFonts w:cs="Arial"/>
        </w:rPr>
        <w:t xml:space="preserve"> </w:t>
      </w:r>
      <w:r w:rsidR="00015514" w:rsidRPr="001D664C">
        <w:rPr>
          <w:rFonts w:cs="Arial"/>
        </w:rPr>
        <w:t>și</w:t>
      </w:r>
      <w:r w:rsidRPr="001D664C">
        <w:rPr>
          <w:rFonts w:cs="Arial"/>
        </w:rPr>
        <w:t xml:space="preserve"> </w:t>
      </w:r>
      <w:r w:rsidR="00015514" w:rsidRPr="001D664C">
        <w:rPr>
          <w:rFonts w:cs="Arial"/>
        </w:rPr>
        <w:t>susținerea</w:t>
      </w:r>
      <w:r w:rsidRPr="001D664C">
        <w:rPr>
          <w:rFonts w:cs="Arial"/>
        </w:rPr>
        <w:t xml:space="preserve"> demersurilor Uniunii </w:t>
      </w:r>
      <w:r w:rsidR="00015514" w:rsidRPr="001D664C">
        <w:rPr>
          <w:rFonts w:cs="Arial"/>
        </w:rPr>
        <w:t>Naționale</w:t>
      </w:r>
      <w:r w:rsidRPr="001D664C">
        <w:rPr>
          <w:rFonts w:cs="Arial"/>
        </w:rPr>
        <w:t xml:space="preserve"> a Judecătorilor din România (U</w:t>
      </w:r>
      <w:r w:rsidR="00015514">
        <w:rPr>
          <w:rFonts w:cs="Arial"/>
        </w:rPr>
        <w:t>.</w:t>
      </w:r>
      <w:r w:rsidRPr="001D664C">
        <w:rPr>
          <w:rFonts w:cs="Arial"/>
        </w:rPr>
        <w:t>N</w:t>
      </w:r>
      <w:r w:rsidR="00015514">
        <w:rPr>
          <w:rFonts w:cs="Arial"/>
        </w:rPr>
        <w:t>.</w:t>
      </w:r>
      <w:r w:rsidRPr="001D664C">
        <w:rPr>
          <w:rFonts w:cs="Arial"/>
        </w:rPr>
        <w:t>J</w:t>
      </w:r>
      <w:r w:rsidR="00015514">
        <w:rPr>
          <w:rFonts w:cs="Arial"/>
        </w:rPr>
        <w:t>.</w:t>
      </w:r>
      <w:r w:rsidRPr="001D664C">
        <w:rPr>
          <w:rFonts w:cs="Arial"/>
        </w:rPr>
        <w:t>R</w:t>
      </w:r>
      <w:r w:rsidR="00015514">
        <w:rPr>
          <w:rFonts w:cs="Arial"/>
        </w:rPr>
        <w:t>.</w:t>
      </w:r>
      <w:r w:rsidRPr="001D664C">
        <w:rPr>
          <w:rFonts w:cs="Arial"/>
        </w:rPr>
        <w:t xml:space="preserve">) în </w:t>
      </w:r>
      <w:r w:rsidR="00015514" w:rsidRPr="001D664C">
        <w:rPr>
          <w:rFonts w:cs="Arial"/>
        </w:rPr>
        <w:t>apărarea</w:t>
      </w:r>
      <w:r w:rsidRPr="001D664C">
        <w:rPr>
          <w:rFonts w:cs="Arial"/>
        </w:rPr>
        <w:t xml:space="preserve"> statului de drept, în </w:t>
      </w:r>
      <w:r w:rsidR="00660790" w:rsidRPr="001D664C">
        <w:rPr>
          <w:rFonts w:cs="Arial"/>
        </w:rPr>
        <w:t>menținerea</w:t>
      </w:r>
      <w:r w:rsidRPr="001D664C">
        <w:rPr>
          <w:rFonts w:cs="Arial"/>
        </w:rPr>
        <w:t xml:space="preserve"> echilibrului între puteri </w:t>
      </w:r>
      <w:r w:rsidR="00015514" w:rsidRPr="001D664C">
        <w:rPr>
          <w:rFonts w:cs="Arial"/>
        </w:rPr>
        <w:t>și</w:t>
      </w:r>
      <w:r w:rsidRPr="001D664C">
        <w:rPr>
          <w:rFonts w:cs="Arial"/>
        </w:rPr>
        <w:t xml:space="preserve"> în respectul </w:t>
      </w:r>
      <w:r w:rsidR="00015514" w:rsidRPr="001D664C">
        <w:rPr>
          <w:rFonts w:cs="Arial"/>
        </w:rPr>
        <w:t>față</w:t>
      </w:r>
      <w:r w:rsidRPr="001D664C">
        <w:rPr>
          <w:rFonts w:cs="Arial"/>
        </w:rPr>
        <w:t xml:space="preserve"> de drepturile omului</w:t>
      </w:r>
      <w:r w:rsidR="00B208EA" w:rsidRPr="001D664C">
        <w:rPr>
          <w:rFonts w:cs="Arial"/>
        </w:rPr>
        <w:t>;</w:t>
      </w:r>
    </w:p>
    <w:p w:rsidR="00F228E6" w:rsidRPr="001D664C" w:rsidRDefault="00F228E6" w:rsidP="00BF581C">
      <w:pPr>
        <w:pStyle w:val="ListParagraph"/>
        <w:numPr>
          <w:ilvl w:val="1"/>
          <w:numId w:val="4"/>
        </w:numPr>
        <w:tabs>
          <w:tab w:val="left" w:pos="1701"/>
        </w:tabs>
        <w:ind w:left="1134" w:firstLine="284"/>
        <w:jc w:val="both"/>
        <w:rPr>
          <w:rFonts w:cs="Arial"/>
        </w:rPr>
      </w:pPr>
      <w:r w:rsidRPr="001D664C">
        <w:rPr>
          <w:rFonts w:cs="Arial"/>
        </w:rPr>
        <w:lastRenderedPageBreak/>
        <w:t>modificarea art. 90 lit. c) N</w:t>
      </w:r>
      <w:r w:rsidR="00660790">
        <w:rPr>
          <w:rFonts w:cs="Arial"/>
        </w:rPr>
        <w:t xml:space="preserve">oul </w:t>
      </w:r>
      <w:r w:rsidRPr="001D664C">
        <w:rPr>
          <w:rFonts w:cs="Arial"/>
        </w:rPr>
        <w:t>C</w:t>
      </w:r>
      <w:r w:rsidR="00660790">
        <w:rPr>
          <w:rFonts w:cs="Arial"/>
        </w:rPr>
        <w:t xml:space="preserve">od de </w:t>
      </w:r>
      <w:r w:rsidRPr="001D664C">
        <w:rPr>
          <w:rFonts w:cs="Arial"/>
        </w:rPr>
        <w:t>P</w:t>
      </w:r>
      <w:r w:rsidR="00660790">
        <w:rPr>
          <w:rFonts w:cs="Arial"/>
        </w:rPr>
        <w:t xml:space="preserve">rocedură </w:t>
      </w:r>
      <w:r w:rsidRPr="001D664C">
        <w:rPr>
          <w:rFonts w:cs="Arial"/>
        </w:rPr>
        <w:t>P</w:t>
      </w:r>
      <w:r w:rsidR="00660790">
        <w:rPr>
          <w:rFonts w:cs="Arial"/>
        </w:rPr>
        <w:t>enală</w:t>
      </w:r>
      <w:r w:rsidRPr="001D664C">
        <w:rPr>
          <w:rFonts w:cs="Arial"/>
        </w:rPr>
        <w:t xml:space="preserve">, în sensul de a se institui obligativitatea asistenței juridice a suspectului sau inculpatului în cursul judecății în cauzele  în care legea prevede pentru </w:t>
      </w:r>
      <w:r w:rsidR="00015514" w:rsidRPr="001D664C">
        <w:rPr>
          <w:rFonts w:cs="Arial"/>
        </w:rPr>
        <w:t>infracțiunea</w:t>
      </w:r>
      <w:r w:rsidRPr="001D664C">
        <w:rPr>
          <w:rFonts w:cs="Arial"/>
        </w:rPr>
        <w:t xml:space="preserve"> </w:t>
      </w:r>
      <w:r w:rsidR="00015514" w:rsidRPr="001D664C">
        <w:rPr>
          <w:rFonts w:cs="Arial"/>
        </w:rPr>
        <w:t>săvârșită</w:t>
      </w:r>
      <w:r w:rsidRPr="001D664C">
        <w:rPr>
          <w:rFonts w:cs="Arial"/>
        </w:rPr>
        <w:t xml:space="preserve"> pedeapsa închisorii mai mare de 4 ani (în prezent, limita este de 5 ani);</w:t>
      </w:r>
    </w:p>
    <w:p w:rsidR="00B16D3E" w:rsidRPr="001D664C" w:rsidRDefault="00B16D3E" w:rsidP="00B16D3E">
      <w:pPr>
        <w:pStyle w:val="ListParagraph"/>
        <w:numPr>
          <w:ilvl w:val="1"/>
          <w:numId w:val="4"/>
        </w:numPr>
        <w:tabs>
          <w:tab w:val="left" w:pos="1701"/>
        </w:tabs>
        <w:ind w:left="1134" w:firstLine="284"/>
        <w:jc w:val="both"/>
        <w:rPr>
          <w:rFonts w:cs="Arial"/>
        </w:rPr>
      </w:pPr>
      <w:r w:rsidRPr="001D664C">
        <w:rPr>
          <w:rFonts w:cs="Arial"/>
        </w:rPr>
        <w:t>identificarea posibilităților de extindere a domeniului de activitate a Serviciului de Asistență Judiciară</w:t>
      </w:r>
      <w:r w:rsidR="001D664C" w:rsidRPr="001D664C">
        <w:rPr>
          <w:rFonts w:cs="Arial"/>
        </w:rPr>
        <w:t> ;</w:t>
      </w:r>
    </w:p>
    <w:p w:rsidR="00B208EA" w:rsidRPr="001D664C" w:rsidRDefault="00702C8E" w:rsidP="00F228E6">
      <w:pPr>
        <w:pStyle w:val="ListParagraph"/>
        <w:numPr>
          <w:ilvl w:val="1"/>
          <w:numId w:val="4"/>
        </w:numPr>
        <w:tabs>
          <w:tab w:val="left" w:pos="1701"/>
        </w:tabs>
        <w:ind w:left="1134" w:firstLine="284"/>
        <w:jc w:val="both"/>
        <w:rPr>
          <w:rFonts w:cs="Arial"/>
        </w:rPr>
      </w:pPr>
      <w:r w:rsidRPr="001D664C">
        <w:rPr>
          <w:rFonts w:cs="Arial"/>
        </w:rPr>
        <w:t xml:space="preserve">completarea Legii nr. 303/2004 privind statutul judecătorilor </w:t>
      </w:r>
      <w:r w:rsidR="00015514" w:rsidRPr="001D664C">
        <w:rPr>
          <w:rFonts w:cs="Arial"/>
        </w:rPr>
        <w:t>și</w:t>
      </w:r>
      <w:r w:rsidRPr="001D664C">
        <w:rPr>
          <w:rFonts w:cs="Arial"/>
        </w:rPr>
        <w:t xml:space="preserve"> procurorilor cu o prevedere</w:t>
      </w:r>
      <w:r w:rsidR="00B208EA" w:rsidRPr="001D664C">
        <w:rPr>
          <w:rFonts w:cs="Arial"/>
        </w:rPr>
        <w:t xml:space="preserve"> </w:t>
      </w:r>
      <w:r w:rsidRPr="001D664C">
        <w:rPr>
          <w:rFonts w:cs="Arial"/>
        </w:rPr>
        <w:t xml:space="preserve">care să dispună ca numirea în </w:t>
      </w:r>
      <w:r w:rsidR="00015514" w:rsidRPr="001D664C">
        <w:rPr>
          <w:rFonts w:cs="Arial"/>
        </w:rPr>
        <w:t>funcția</w:t>
      </w:r>
      <w:r w:rsidRPr="001D664C">
        <w:rPr>
          <w:rFonts w:cs="Arial"/>
        </w:rPr>
        <w:t xml:space="preserve"> de judecător sau procuror să fie </w:t>
      </w:r>
      <w:r w:rsidR="00015514" w:rsidRPr="001D664C">
        <w:rPr>
          <w:rFonts w:cs="Arial"/>
        </w:rPr>
        <w:t>condiționată</w:t>
      </w:r>
      <w:r w:rsidRPr="001D664C">
        <w:rPr>
          <w:rFonts w:cs="Arial"/>
        </w:rPr>
        <w:t xml:space="preserve"> de </w:t>
      </w:r>
      <w:r w:rsidR="00015514" w:rsidRPr="001D664C">
        <w:rPr>
          <w:rFonts w:cs="Arial"/>
        </w:rPr>
        <w:t>deținerea</w:t>
      </w:r>
      <w:r w:rsidRPr="001D664C">
        <w:rPr>
          <w:rFonts w:cs="Arial"/>
        </w:rPr>
        <w:t xml:space="preserve"> unei vechimi </w:t>
      </w:r>
      <w:r w:rsidR="00ED2976" w:rsidRPr="001D664C">
        <w:rPr>
          <w:rFonts w:cs="Arial"/>
        </w:rPr>
        <w:t xml:space="preserve">de cel </w:t>
      </w:r>
      <w:r w:rsidR="00015514" w:rsidRPr="001D664C">
        <w:rPr>
          <w:rFonts w:cs="Arial"/>
        </w:rPr>
        <w:t>puțin</w:t>
      </w:r>
      <w:r w:rsidR="00ED2976" w:rsidRPr="001D664C">
        <w:rPr>
          <w:rFonts w:cs="Arial"/>
        </w:rPr>
        <w:t xml:space="preserve"> 5 ani </w:t>
      </w:r>
      <w:r w:rsidRPr="001D664C">
        <w:rPr>
          <w:rFonts w:cs="Arial"/>
        </w:rPr>
        <w:t xml:space="preserve">în </w:t>
      </w:r>
      <w:r w:rsidR="00ED2976">
        <w:rPr>
          <w:rFonts w:cs="Arial"/>
        </w:rPr>
        <w:t xml:space="preserve">alte </w:t>
      </w:r>
      <w:r w:rsidRPr="001D664C">
        <w:rPr>
          <w:rFonts w:cs="Arial"/>
        </w:rPr>
        <w:t>profesii juridice;</w:t>
      </w:r>
      <w:r w:rsidR="00B208EA" w:rsidRPr="001D664C">
        <w:rPr>
          <w:rFonts w:cs="Arial"/>
        </w:rPr>
        <w:t xml:space="preserve"> </w:t>
      </w:r>
    </w:p>
    <w:p w:rsidR="00291017" w:rsidRPr="001D664C" w:rsidRDefault="00660790" w:rsidP="00F228E6">
      <w:pPr>
        <w:pStyle w:val="ListParagraph"/>
        <w:numPr>
          <w:ilvl w:val="1"/>
          <w:numId w:val="4"/>
        </w:numPr>
        <w:tabs>
          <w:tab w:val="left" w:pos="1701"/>
        </w:tabs>
        <w:ind w:left="1134" w:firstLine="284"/>
        <w:jc w:val="both"/>
        <w:rPr>
          <w:rFonts w:cs="Arial"/>
        </w:rPr>
      </w:pPr>
      <w:r w:rsidRPr="001D664C">
        <w:rPr>
          <w:rFonts w:cs="Arial"/>
        </w:rPr>
        <w:t>înființarea</w:t>
      </w:r>
      <w:r w:rsidR="00291017" w:rsidRPr="001D664C">
        <w:rPr>
          <w:rFonts w:cs="Arial"/>
        </w:rPr>
        <w:t xml:space="preserve"> unei structuri specializate, care să promoveze </w:t>
      </w:r>
      <w:r w:rsidRPr="001D664C">
        <w:rPr>
          <w:rFonts w:cs="Arial"/>
        </w:rPr>
        <w:t>transparența</w:t>
      </w:r>
      <w:r w:rsidR="00291017" w:rsidRPr="001D664C">
        <w:rPr>
          <w:rFonts w:cs="Arial"/>
        </w:rPr>
        <w:t xml:space="preserve"> </w:t>
      </w:r>
      <w:r w:rsidRPr="001D664C">
        <w:rPr>
          <w:rFonts w:cs="Arial"/>
        </w:rPr>
        <w:t>activității</w:t>
      </w:r>
      <w:r w:rsidR="00291017" w:rsidRPr="001D664C">
        <w:rPr>
          <w:rFonts w:cs="Arial"/>
        </w:rPr>
        <w:t xml:space="preserve"> organelor profesiei </w:t>
      </w:r>
      <w:r w:rsidRPr="001D664C">
        <w:rPr>
          <w:rFonts w:cs="Arial"/>
        </w:rPr>
        <w:t>și</w:t>
      </w:r>
      <w:r w:rsidR="00291017" w:rsidRPr="001D664C">
        <w:rPr>
          <w:rFonts w:cs="Arial"/>
        </w:rPr>
        <w:t xml:space="preserve"> a serviciilor aflate în slujba profesiei;</w:t>
      </w:r>
    </w:p>
    <w:p w:rsidR="00291017" w:rsidRPr="001D664C" w:rsidRDefault="00660790" w:rsidP="00F228E6">
      <w:pPr>
        <w:pStyle w:val="ListParagraph"/>
        <w:numPr>
          <w:ilvl w:val="1"/>
          <w:numId w:val="4"/>
        </w:numPr>
        <w:tabs>
          <w:tab w:val="left" w:pos="1701"/>
        </w:tabs>
        <w:ind w:left="1134" w:firstLine="284"/>
        <w:jc w:val="both"/>
        <w:rPr>
          <w:rFonts w:cs="Arial"/>
        </w:rPr>
      </w:pPr>
      <w:r w:rsidRPr="001D664C">
        <w:rPr>
          <w:rFonts w:cs="Arial"/>
        </w:rPr>
        <w:t>înființarea</w:t>
      </w:r>
      <w:r w:rsidR="00291017" w:rsidRPr="001D664C">
        <w:rPr>
          <w:rFonts w:cs="Arial"/>
        </w:rPr>
        <w:t xml:space="preserve"> unui centru pentru monitorizarea </w:t>
      </w:r>
      <w:r w:rsidRPr="001D664C">
        <w:rPr>
          <w:rFonts w:cs="Arial"/>
        </w:rPr>
        <w:t>știrilor</w:t>
      </w:r>
      <w:r w:rsidR="00291017" w:rsidRPr="001D664C">
        <w:rPr>
          <w:rFonts w:cs="Arial"/>
        </w:rPr>
        <w:t xml:space="preserve"> având legătură cu avocatura </w:t>
      </w:r>
      <w:r w:rsidRPr="001D664C">
        <w:rPr>
          <w:rFonts w:cs="Arial"/>
        </w:rPr>
        <w:t>și</w:t>
      </w:r>
      <w:r w:rsidR="00291017" w:rsidRPr="001D664C">
        <w:rPr>
          <w:rFonts w:cs="Arial"/>
        </w:rPr>
        <w:t xml:space="preserve"> </w:t>
      </w:r>
      <w:r w:rsidRPr="001D664C">
        <w:rPr>
          <w:rFonts w:cs="Arial"/>
        </w:rPr>
        <w:t>avocații</w:t>
      </w:r>
      <w:r w:rsidR="00291017" w:rsidRPr="001D664C">
        <w:rPr>
          <w:rFonts w:cs="Arial"/>
        </w:rPr>
        <w:t xml:space="preserve"> apărute în mass-media</w:t>
      </w:r>
    </w:p>
    <w:p w:rsidR="00B208EA" w:rsidRPr="001D664C" w:rsidRDefault="00B208EA" w:rsidP="008D6DF5">
      <w:pPr>
        <w:jc w:val="both"/>
        <w:rPr>
          <w:rFonts w:cs="Arial"/>
        </w:rPr>
      </w:pPr>
    </w:p>
    <w:p w:rsidR="00B208EA" w:rsidRPr="001D664C" w:rsidRDefault="00AA5E12" w:rsidP="00AA5E12">
      <w:pPr>
        <w:ind w:firstLine="709"/>
        <w:jc w:val="both"/>
        <w:rPr>
          <w:rFonts w:cs="Arial"/>
        </w:rPr>
      </w:pPr>
      <w:r w:rsidRPr="001D664C">
        <w:rPr>
          <w:rFonts w:cs="Arial"/>
        </w:rPr>
        <w:t xml:space="preserve">Art. 2. </w:t>
      </w:r>
      <w:r w:rsidR="00B208EA" w:rsidRPr="001D664C">
        <w:rPr>
          <w:rFonts w:cs="Arial"/>
        </w:rPr>
        <w:t xml:space="preserve">Transmite propunerile </w:t>
      </w:r>
      <w:r w:rsidR="00E922E4" w:rsidRPr="001D664C">
        <w:rPr>
          <w:rFonts w:cs="Arial"/>
        </w:rPr>
        <w:t>prevăzute la art. 1, inclusiv</w:t>
      </w:r>
      <w:r w:rsidR="00B208EA" w:rsidRPr="001D664C">
        <w:rPr>
          <w:rFonts w:cs="Arial"/>
        </w:rPr>
        <w:t xml:space="preserve"> </w:t>
      </w:r>
      <w:r w:rsidR="00E922E4" w:rsidRPr="001D664C">
        <w:rPr>
          <w:rFonts w:cs="Arial"/>
        </w:rPr>
        <w:t xml:space="preserve">cele </w:t>
      </w:r>
      <w:r w:rsidR="00660790" w:rsidRPr="001D664C">
        <w:rPr>
          <w:rFonts w:cs="Arial"/>
        </w:rPr>
        <w:t>reținute</w:t>
      </w:r>
      <w:r w:rsidR="00E922E4" w:rsidRPr="001D664C">
        <w:rPr>
          <w:rFonts w:cs="Arial"/>
        </w:rPr>
        <w:t xml:space="preserve"> în Raportul de activitate al Consiliului U.N.B.R.</w:t>
      </w:r>
      <w:r w:rsidR="00B208EA" w:rsidRPr="001D664C">
        <w:rPr>
          <w:rFonts w:cs="Arial"/>
        </w:rPr>
        <w:t xml:space="preserve">, </w:t>
      </w:r>
      <w:r w:rsidR="00E922E4" w:rsidRPr="001D664C">
        <w:rPr>
          <w:rFonts w:cs="Arial"/>
        </w:rPr>
        <w:t xml:space="preserve">aprobat prin Hotărârea Congresului </w:t>
      </w:r>
      <w:r w:rsidR="00BC0D73">
        <w:rPr>
          <w:rFonts w:cs="Arial"/>
        </w:rPr>
        <w:t>a</w:t>
      </w:r>
      <w:r w:rsidR="00660790" w:rsidRPr="001D664C">
        <w:rPr>
          <w:rFonts w:cs="Arial"/>
        </w:rPr>
        <w:t>vocaților</w:t>
      </w:r>
      <w:r w:rsidR="00E922E4" w:rsidRPr="001D664C">
        <w:rPr>
          <w:rFonts w:cs="Arial"/>
        </w:rPr>
        <w:t xml:space="preserve"> nr. 1/25-26.03.2016, </w:t>
      </w:r>
      <w:r w:rsidR="00B208EA" w:rsidRPr="001D664C">
        <w:rPr>
          <w:rFonts w:cs="Arial"/>
        </w:rPr>
        <w:t xml:space="preserve">spre analiză și dezbatere în ședința </w:t>
      </w:r>
      <w:r w:rsidR="00DC6466">
        <w:rPr>
          <w:rFonts w:cs="Arial"/>
        </w:rPr>
        <w:t>Consiliului U.N.B.R.</w:t>
      </w:r>
      <w:r w:rsidR="00B208EA" w:rsidRPr="001D664C">
        <w:rPr>
          <w:rFonts w:cs="Arial"/>
        </w:rPr>
        <w:t xml:space="preserve"> din data de </w:t>
      </w:r>
      <w:r w:rsidR="007207C4" w:rsidRPr="001D664C">
        <w:rPr>
          <w:rFonts w:cs="Arial"/>
        </w:rPr>
        <w:t>4-5 iunie 2016</w:t>
      </w:r>
      <w:r w:rsidR="00B208EA" w:rsidRPr="001D664C">
        <w:rPr>
          <w:rFonts w:cs="Arial"/>
        </w:rPr>
        <w:t>.</w:t>
      </w:r>
    </w:p>
    <w:p w:rsidR="00B208EA" w:rsidRPr="001D664C" w:rsidRDefault="00B208EA" w:rsidP="00D97F42">
      <w:pPr>
        <w:pStyle w:val="ListParagraph"/>
        <w:jc w:val="both"/>
        <w:rPr>
          <w:rFonts w:cs="Arial"/>
        </w:rPr>
      </w:pPr>
    </w:p>
    <w:p w:rsidR="00B208EA" w:rsidRPr="001D664C" w:rsidRDefault="00B208EA" w:rsidP="00D97F42">
      <w:pPr>
        <w:pStyle w:val="ListParagraph"/>
        <w:jc w:val="both"/>
        <w:rPr>
          <w:rFonts w:cs="Arial"/>
        </w:rPr>
      </w:pPr>
    </w:p>
    <w:p w:rsidR="00702C8E" w:rsidRPr="001D664C" w:rsidRDefault="00702C8E" w:rsidP="00D97F42">
      <w:pPr>
        <w:pStyle w:val="ListParagraph"/>
        <w:jc w:val="both"/>
        <w:rPr>
          <w:rFonts w:cs="Arial"/>
        </w:rPr>
      </w:pPr>
      <w:r w:rsidRPr="001D664C">
        <w:rPr>
          <w:rFonts w:cs="Arial"/>
          <w:b/>
        </w:rPr>
        <w:t xml:space="preserve">II. Cu privire la </w:t>
      </w:r>
      <w:r w:rsidR="00E46DC4">
        <w:rPr>
          <w:rFonts w:cs="Arial"/>
          <w:b/>
        </w:rPr>
        <w:t xml:space="preserve">activitatea </w:t>
      </w:r>
      <w:r w:rsidRPr="001D664C">
        <w:rPr>
          <w:rFonts w:cs="Arial"/>
          <w:b/>
        </w:rPr>
        <w:t xml:space="preserve">Institutului de Pregătire </w:t>
      </w:r>
      <w:r w:rsidR="00660790" w:rsidRPr="001D664C">
        <w:rPr>
          <w:rFonts w:cs="Arial"/>
          <w:b/>
        </w:rPr>
        <w:t>și</w:t>
      </w:r>
      <w:r w:rsidRPr="001D664C">
        <w:rPr>
          <w:rFonts w:cs="Arial"/>
          <w:b/>
        </w:rPr>
        <w:t xml:space="preserve"> </w:t>
      </w:r>
      <w:r w:rsidR="00660790" w:rsidRPr="001D664C">
        <w:rPr>
          <w:rFonts w:cs="Arial"/>
          <w:b/>
        </w:rPr>
        <w:t>Perfecționare</w:t>
      </w:r>
      <w:r w:rsidRPr="001D664C">
        <w:rPr>
          <w:rFonts w:cs="Arial"/>
          <w:b/>
        </w:rPr>
        <w:t xml:space="preserve"> a </w:t>
      </w:r>
      <w:r w:rsidR="00660790" w:rsidRPr="001D664C">
        <w:rPr>
          <w:rFonts w:cs="Arial"/>
          <w:b/>
        </w:rPr>
        <w:t>Avocaților</w:t>
      </w:r>
      <w:r w:rsidRPr="001D664C">
        <w:rPr>
          <w:rFonts w:cs="Arial"/>
          <w:b/>
        </w:rPr>
        <w:t xml:space="preserve"> (I.N.P.P.A.)</w:t>
      </w:r>
    </w:p>
    <w:p w:rsidR="00B208EA" w:rsidRPr="001D664C" w:rsidRDefault="00B208EA" w:rsidP="00D97F42">
      <w:pPr>
        <w:pStyle w:val="ListParagraph"/>
        <w:jc w:val="both"/>
        <w:rPr>
          <w:rFonts w:cs="Arial"/>
        </w:rPr>
      </w:pPr>
    </w:p>
    <w:p w:rsidR="00FD109E" w:rsidRPr="001D664C" w:rsidRDefault="00BF581C" w:rsidP="00BF581C">
      <w:pPr>
        <w:pStyle w:val="ListParagraph"/>
        <w:ind w:left="0" w:firstLine="708"/>
        <w:jc w:val="both"/>
        <w:rPr>
          <w:rFonts w:cs="Arial"/>
        </w:rPr>
      </w:pPr>
      <w:r w:rsidRPr="001D664C">
        <w:rPr>
          <w:rFonts w:cs="Arial"/>
        </w:rPr>
        <w:t xml:space="preserve">Art. </w:t>
      </w:r>
      <w:r w:rsidR="00327DF0" w:rsidRPr="001D664C">
        <w:rPr>
          <w:rFonts w:cs="Arial"/>
        </w:rPr>
        <w:t>3</w:t>
      </w:r>
      <w:r w:rsidRPr="001D664C">
        <w:rPr>
          <w:rFonts w:cs="Arial"/>
        </w:rPr>
        <w:t>. Se ia act de propuner</w:t>
      </w:r>
      <w:r w:rsidR="00FD109E" w:rsidRPr="001D664C">
        <w:rPr>
          <w:rFonts w:cs="Arial"/>
        </w:rPr>
        <w:t>ile privind:</w:t>
      </w:r>
    </w:p>
    <w:p w:rsidR="00BF581C" w:rsidRPr="001D664C" w:rsidRDefault="00FD109E" w:rsidP="00FD109E">
      <w:pPr>
        <w:pStyle w:val="ListParagraph"/>
        <w:ind w:left="1134" w:firstLine="284"/>
        <w:jc w:val="both"/>
        <w:rPr>
          <w:rFonts w:cs="Arial"/>
        </w:rPr>
      </w:pPr>
      <w:r w:rsidRPr="001D664C">
        <w:rPr>
          <w:rFonts w:cs="Arial"/>
        </w:rPr>
        <w:t xml:space="preserve">a. </w:t>
      </w:r>
      <w:r w:rsidR="00BF581C" w:rsidRPr="001D664C">
        <w:rPr>
          <w:rFonts w:cs="Arial"/>
        </w:rPr>
        <w:t xml:space="preserve">adaptarea curriculei prin </w:t>
      </w:r>
      <w:r w:rsidR="00015514" w:rsidRPr="001D664C">
        <w:rPr>
          <w:rFonts w:cs="Arial"/>
        </w:rPr>
        <w:t>creșterea</w:t>
      </w:r>
      <w:r w:rsidR="00BF581C" w:rsidRPr="001D664C">
        <w:rPr>
          <w:rFonts w:cs="Arial"/>
        </w:rPr>
        <w:t xml:space="preserve"> </w:t>
      </w:r>
      <w:r w:rsidR="00015514" w:rsidRPr="001D664C">
        <w:rPr>
          <w:rFonts w:cs="Arial"/>
        </w:rPr>
        <w:t>proporției</w:t>
      </w:r>
      <w:r w:rsidR="00BF581C" w:rsidRPr="001D664C">
        <w:rPr>
          <w:rFonts w:cs="Arial"/>
        </w:rPr>
        <w:t xml:space="preserve"> cursurilor on-line, la cel </w:t>
      </w:r>
      <w:r w:rsidR="00015514" w:rsidRPr="001D664C">
        <w:rPr>
          <w:rFonts w:cs="Arial"/>
        </w:rPr>
        <w:t>puțin</w:t>
      </w:r>
      <w:r w:rsidR="00BF581C" w:rsidRPr="001D664C">
        <w:rPr>
          <w:rFonts w:cs="Arial"/>
        </w:rPr>
        <w:t xml:space="preserve"> o treime din total, în paralel cu limitarea </w:t>
      </w:r>
      <w:r w:rsidR="000B635B">
        <w:rPr>
          <w:rFonts w:cs="Arial"/>
        </w:rPr>
        <w:t xml:space="preserve">orelor de atelier, care să fie </w:t>
      </w:r>
      <w:r w:rsidR="00BF581C" w:rsidRPr="001D664C">
        <w:rPr>
          <w:rFonts w:cs="Arial"/>
        </w:rPr>
        <w:t xml:space="preserve">obligatorii, sub </w:t>
      </w:r>
      <w:r w:rsidR="00015514" w:rsidRPr="001D664C">
        <w:rPr>
          <w:rFonts w:cs="Arial"/>
        </w:rPr>
        <w:t>sancțiunea</w:t>
      </w:r>
      <w:r w:rsidR="00BF581C" w:rsidRPr="001D664C">
        <w:rPr>
          <w:rFonts w:cs="Arial"/>
        </w:rPr>
        <w:t xml:space="preserve"> neînscrierii la examen</w:t>
      </w:r>
      <w:r w:rsidRPr="001D664C">
        <w:rPr>
          <w:rFonts w:cs="Arial"/>
        </w:rPr>
        <w:t>;</w:t>
      </w:r>
    </w:p>
    <w:p w:rsidR="00FD109E" w:rsidRPr="001D664C" w:rsidRDefault="00FD109E" w:rsidP="00FD109E">
      <w:pPr>
        <w:pStyle w:val="ListParagraph"/>
        <w:ind w:left="1134" w:firstLine="284"/>
        <w:jc w:val="both"/>
        <w:rPr>
          <w:rFonts w:cs="Arial"/>
        </w:rPr>
      </w:pPr>
      <w:r w:rsidRPr="001D664C">
        <w:rPr>
          <w:rFonts w:cs="Arial"/>
        </w:rPr>
        <w:t>b. introducerea unui modul special de cultură juridică,</w:t>
      </w:r>
      <w:r w:rsidR="00F86345">
        <w:rPr>
          <w:rFonts w:cs="Arial"/>
        </w:rPr>
        <w:t xml:space="preserve"> </w:t>
      </w:r>
      <w:r w:rsidRPr="001D664C">
        <w:rPr>
          <w:rFonts w:cs="Arial"/>
        </w:rPr>
        <w:t xml:space="preserve">având ca discipline </w:t>
      </w:r>
      <w:r w:rsidR="00660790" w:rsidRPr="001D664C">
        <w:rPr>
          <w:rFonts w:cs="Arial"/>
        </w:rPr>
        <w:t>științifice</w:t>
      </w:r>
      <w:r w:rsidRPr="001D664C">
        <w:rPr>
          <w:rFonts w:cs="Arial"/>
        </w:rPr>
        <w:t xml:space="preserve"> obligatorii </w:t>
      </w:r>
      <w:r w:rsidR="00BC0D73">
        <w:rPr>
          <w:rFonts w:cs="Arial"/>
        </w:rPr>
        <w:t>„</w:t>
      </w:r>
      <w:r w:rsidRPr="001D664C">
        <w:rPr>
          <w:rFonts w:cs="Arial"/>
        </w:rPr>
        <w:t xml:space="preserve">Istoria </w:t>
      </w:r>
      <w:r w:rsidR="00BC0D73">
        <w:rPr>
          <w:rFonts w:cs="Arial"/>
        </w:rPr>
        <w:t>d</w:t>
      </w:r>
      <w:r w:rsidRPr="001D664C">
        <w:rPr>
          <w:rFonts w:cs="Arial"/>
        </w:rPr>
        <w:t xml:space="preserve">reptului </w:t>
      </w:r>
      <w:r w:rsidR="00660790" w:rsidRPr="001D664C">
        <w:rPr>
          <w:rFonts w:cs="Arial"/>
        </w:rPr>
        <w:t>și</w:t>
      </w:r>
      <w:r w:rsidRPr="001D664C">
        <w:rPr>
          <w:rFonts w:cs="Arial"/>
        </w:rPr>
        <w:t xml:space="preserve"> a </w:t>
      </w:r>
      <w:r w:rsidR="00BC0D73">
        <w:rPr>
          <w:rFonts w:cs="Arial"/>
        </w:rPr>
        <w:t>p</w:t>
      </w:r>
      <w:r w:rsidRPr="001D664C">
        <w:rPr>
          <w:rFonts w:cs="Arial"/>
        </w:rPr>
        <w:t>rofesiei de avoc</w:t>
      </w:r>
      <w:r w:rsidR="00F86345">
        <w:rPr>
          <w:rFonts w:cs="Arial"/>
        </w:rPr>
        <w:t>at</w:t>
      </w:r>
      <w:r w:rsidR="00BC0D73">
        <w:rPr>
          <w:rFonts w:cs="Arial"/>
        </w:rPr>
        <w:t>”</w:t>
      </w:r>
      <w:r w:rsidR="00F86345">
        <w:rPr>
          <w:rFonts w:cs="Arial"/>
        </w:rPr>
        <w:t xml:space="preserve"> </w:t>
      </w:r>
      <w:r w:rsidR="00660790" w:rsidRPr="001D664C">
        <w:rPr>
          <w:rFonts w:cs="Arial"/>
        </w:rPr>
        <w:t>și</w:t>
      </w:r>
      <w:r w:rsidRPr="001D664C">
        <w:rPr>
          <w:rFonts w:cs="Arial"/>
        </w:rPr>
        <w:t xml:space="preserve"> </w:t>
      </w:r>
      <w:r w:rsidR="00BC0D73">
        <w:rPr>
          <w:rFonts w:cs="Arial"/>
        </w:rPr>
        <w:t>„</w:t>
      </w:r>
      <w:r w:rsidRPr="001D664C">
        <w:rPr>
          <w:rFonts w:cs="Arial"/>
        </w:rPr>
        <w:t xml:space="preserve">Teoria </w:t>
      </w:r>
      <w:r w:rsidR="00BC0D73">
        <w:rPr>
          <w:rFonts w:cs="Arial"/>
        </w:rPr>
        <w:t>g</w:t>
      </w:r>
      <w:r w:rsidRPr="001D664C">
        <w:rPr>
          <w:rFonts w:cs="Arial"/>
        </w:rPr>
        <w:t xml:space="preserve">enerală a </w:t>
      </w:r>
      <w:r w:rsidR="00BC0D73">
        <w:rPr>
          <w:rFonts w:cs="Arial"/>
        </w:rPr>
        <w:t>d</w:t>
      </w:r>
      <w:r w:rsidRPr="001D664C">
        <w:rPr>
          <w:rFonts w:cs="Arial"/>
        </w:rPr>
        <w:t>reptului</w:t>
      </w:r>
      <w:r w:rsidR="00BC0D73">
        <w:rPr>
          <w:rFonts w:cs="Arial"/>
        </w:rPr>
        <w:t>”.</w:t>
      </w:r>
    </w:p>
    <w:p w:rsidR="00FD109E" w:rsidRPr="001D664C" w:rsidRDefault="00FD109E" w:rsidP="00BF581C">
      <w:pPr>
        <w:pStyle w:val="ListParagraph"/>
        <w:ind w:left="0" w:firstLine="708"/>
        <w:jc w:val="both"/>
        <w:rPr>
          <w:rFonts w:cs="Arial"/>
        </w:rPr>
      </w:pPr>
    </w:p>
    <w:p w:rsidR="00BF581C" w:rsidRPr="001D664C" w:rsidRDefault="00327DF0" w:rsidP="00BF581C">
      <w:pPr>
        <w:pStyle w:val="ListParagraph"/>
        <w:ind w:left="0" w:firstLine="709"/>
        <w:jc w:val="both"/>
        <w:rPr>
          <w:rFonts w:cs="Arial"/>
        </w:rPr>
      </w:pPr>
      <w:r w:rsidRPr="001D664C">
        <w:rPr>
          <w:rFonts w:cs="Arial"/>
        </w:rPr>
        <w:t>Art. 4</w:t>
      </w:r>
      <w:r w:rsidR="00BF581C" w:rsidRPr="001D664C">
        <w:rPr>
          <w:rFonts w:cs="Arial"/>
        </w:rPr>
        <w:t>. Transmite propuner</w:t>
      </w:r>
      <w:r w:rsidR="00FD109E" w:rsidRPr="001D664C">
        <w:rPr>
          <w:rFonts w:cs="Arial"/>
        </w:rPr>
        <w:t>ile</w:t>
      </w:r>
      <w:r w:rsidR="00BF581C" w:rsidRPr="001D664C">
        <w:rPr>
          <w:rFonts w:cs="Arial"/>
        </w:rPr>
        <w:t xml:space="preserve"> </w:t>
      </w:r>
      <w:r w:rsidR="00166577" w:rsidRPr="001D664C">
        <w:rPr>
          <w:rFonts w:cs="Arial"/>
        </w:rPr>
        <w:t xml:space="preserve">prevăzute în art. 3 </w:t>
      </w:r>
      <w:r w:rsidR="00BF581C" w:rsidRPr="001D664C">
        <w:rPr>
          <w:rFonts w:cs="Arial"/>
        </w:rPr>
        <w:t xml:space="preserve">spre analiză Grupului de lucru constituit prin Decizia Comisiei Permanente nr. 73/29.01.2016, care are ca sarcină pregătirea unui proiect privind pregătirea </w:t>
      </w:r>
      <w:r w:rsidR="00660790" w:rsidRPr="001D664C">
        <w:rPr>
          <w:rFonts w:cs="Arial"/>
        </w:rPr>
        <w:t>inițială</w:t>
      </w:r>
      <w:r w:rsidR="00BF581C" w:rsidRPr="001D664C">
        <w:rPr>
          <w:rFonts w:cs="Arial"/>
        </w:rPr>
        <w:t xml:space="preserve"> </w:t>
      </w:r>
      <w:r w:rsidR="00660790" w:rsidRPr="001D664C">
        <w:rPr>
          <w:rFonts w:cs="Arial"/>
        </w:rPr>
        <w:t>și</w:t>
      </w:r>
      <w:r w:rsidR="00BF581C" w:rsidRPr="001D664C">
        <w:rPr>
          <w:rFonts w:cs="Arial"/>
        </w:rPr>
        <w:t xml:space="preserve"> continuă, </w:t>
      </w:r>
      <w:r w:rsidR="00660790" w:rsidRPr="001D664C">
        <w:rPr>
          <w:rFonts w:cs="Arial"/>
        </w:rPr>
        <w:t>ținând</w:t>
      </w:r>
      <w:r w:rsidR="00BF581C" w:rsidRPr="001D664C">
        <w:rPr>
          <w:rFonts w:cs="Arial"/>
        </w:rPr>
        <w:t xml:space="preserve"> cont de noile </w:t>
      </w:r>
      <w:r w:rsidR="00660790" w:rsidRPr="001D664C">
        <w:rPr>
          <w:rFonts w:cs="Arial"/>
        </w:rPr>
        <w:t>realități</w:t>
      </w:r>
      <w:r w:rsidR="00BF581C" w:rsidRPr="001D664C">
        <w:rPr>
          <w:rFonts w:cs="Arial"/>
        </w:rPr>
        <w:t xml:space="preserve"> din profesia de avocat, urmând ca un raport final al acestuia să fie dezbătut în ședința Consiliului U</w:t>
      </w:r>
      <w:r w:rsidRPr="001D664C">
        <w:rPr>
          <w:rFonts w:cs="Arial"/>
        </w:rPr>
        <w:t>.</w:t>
      </w:r>
      <w:r w:rsidR="00BF581C" w:rsidRPr="001D664C">
        <w:rPr>
          <w:rFonts w:cs="Arial"/>
        </w:rPr>
        <w:t>N</w:t>
      </w:r>
      <w:r w:rsidRPr="001D664C">
        <w:rPr>
          <w:rFonts w:cs="Arial"/>
        </w:rPr>
        <w:t>.</w:t>
      </w:r>
      <w:r w:rsidR="00BF581C" w:rsidRPr="001D664C">
        <w:rPr>
          <w:rFonts w:cs="Arial"/>
        </w:rPr>
        <w:t>B</w:t>
      </w:r>
      <w:r w:rsidRPr="001D664C">
        <w:rPr>
          <w:rFonts w:cs="Arial"/>
        </w:rPr>
        <w:t>.</w:t>
      </w:r>
      <w:r w:rsidR="00BF581C" w:rsidRPr="001D664C">
        <w:rPr>
          <w:rFonts w:cs="Arial"/>
        </w:rPr>
        <w:t>R</w:t>
      </w:r>
      <w:r w:rsidRPr="001D664C">
        <w:rPr>
          <w:rFonts w:cs="Arial"/>
        </w:rPr>
        <w:t>.</w:t>
      </w:r>
      <w:r w:rsidR="00BF581C" w:rsidRPr="001D664C">
        <w:rPr>
          <w:rFonts w:cs="Arial"/>
        </w:rPr>
        <w:t xml:space="preserve"> din data de 4-5 iunie 2016</w:t>
      </w:r>
      <w:r w:rsidRPr="001D664C">
        <w:rPr>
          <w:rFonts w:cs="Arial"/>
        </w:rPr>
        <w:t>.</w:t>
      </w:r>
    </w:p>
    <w:p w:rsidR="00782F0E" w:rsidRPr="001D664C" w:rsidRDefault="00782F0E" w:rsidP="00BF581C">
      <w:pPr>
        <w:pStyle w:val="ListParagraph"/>
        <w:ind w:left="0" w:firstLine="709"/>
        <w:jc w:val="both"/>
        <w:rPr>
          <w:rFonts w:cs="Arial"/>
        </w:rPr>
      </w:pPr>
    </w:p>
    <w:p w:rsidR="00BF581C" w:rsidRPr="001D664C" w:rsidRDefault="00BF581C" w:rsidP="00D97F42">
      <w:pPr>
        <w:pStyle w:val="ListParagraph"/>
        <w:jc w:val="both"/>
        <w:rPr>
          <w:rFonts w:cs="Arial"/>
        </w:rPr>
      </w:pPr>
    </w:p>
    <w:p w:rsidR="00B208EA" w:rsidRPr="001D664C" w:rsidRDefault="00B208EA" w:rsidP="00D97F42">
      <w:pPr>
        <w:pStyle w:val="ListParagraph"/>
        <w:ind w:left="708"/>
        <w:jc w:val="both"/>
        <w:rPr>
          <w:rFonts w:cs="Arial"/>
          <w:b/>
        </w:rPr>
      </w:pPr>
      <w:r w:rsidRPr="001D664C">
        <w:rPr>
          <w:rFonts w:cs="Arial"/>
          <w:b/>
        </w:rPr>
        <w:t>II</w:t>
      </w:r>
      <w:r w:rsidR="00702C8E" w:rsidRPr="001D664C">
        <w:rPr>
          <w:rFonts w:cs="Arial"/>
          <w:b/>
        </w:rPr>
        <w:t>I</w:t>
      </w:r>
      <w:r w:rsidRPr="001D664C">
        <w:rPr>
          <w:rFonts w:cs="Arial"/>
          <w:b/>
        </w:rPr>
        <w:t>. Cu privire la sistemul Casei de Asigurări a Avocaților (C.A.A.):</w:t>
      </w:r>
    </w:p>
    <w:p w:rsidR="00B208EA" w:rsidRPr="001D664C" w:rsidRDefault="00B208EA" w:rsidP="00D97F42">
      <w:pPr>
        <w:pStyle w:val="ListParagraph"/>
        <w:ind w:left="1428"/>
        <w:jc w:val="both"/>
        <w:rPr>
          <w:rFonts w:cs="Arial"/>
        </w:rPr>
      </w:pPr>
    </w:p>
    <w:p w:rsidR="00B208EA" w:rsidRPr="001D664C" w:rsidRDefault="0003475F" w:rsidP="00662E0E">
      <w:pPr>
        <w:ind w:firstLine="708"/>
        <w:jc w:val="both"/>
        <w:rPr>
          <w:rFonts w:cs="Arial"/>
        </w:rPr>
      </w:pPr>
      <w:r w:rsidRPr="001D664C">
        <w:rPr>
          <w:rFonts w:cs="Arial"/>
        </w:rPr>
        <w:t xml:space="preserve">Art. 5. </w:t>
      </w:r>
      <w:r w:rsidR="00B208EA" w:rsidRPr="001D664C">
        <w:rPr>
          <w:rFonts w:cs="Arial"/>
        </w:rPr>
        <w:t>Se ia act de</w:t>
      </w:r>
      <w:r w:rsidRPr="001D664C">
        <w:rPr>
          <w:rFonts w:cs="Arial"/>
        </w:rPr>
        <w:t xml:space="preserve"> propunerile privind</w:t>
      </w:r>
      <w:r w:rsidR="00B208EA" w:rsidRPr="001D664C">
        <w:rPr>
          <w:rFonts w:cs="Arial"/>
        </w:rPr>
        <w:t>:</w:t>
      </w:r>
    </w:p>
    <w:p w:rsidR="00FD109E" w:rsidRPr="001D664C" w:rsidRDefault="0003475F" w:rsidP="00E27CFB">
      <w:pPr>
        <w:pStyle w:val="ListParagraph"/>
        <w:numPr>
          <w:ilvl w:val="1"/>
          <w:numId w:val="1"/>
        </w:numPr>
        <w:tabs>
          <w:tab w:val="left" w:pos="1701"/>
        </w:tabs>
        <w:ind w:left="1134" w:firstLine="284"/>
        <w:jc w:val="both"/>
        <w:rPr>
          <w:rFonts w:cs="Arial"/>
        </w:rPr>
      </w:pPr>
      <w:r w:rsidRPr="001D664C">
        <w:rPr>
          <w:rFonts w:cs="Arial"/>
        </w:rPr>
        <w:t>t</w:t>
      </w:r>
      <w:r w:rsidR="00FD109E" w:rsidRPr="001D664C">
        <w:rPr>
          <w:rFonts w:cs="Arial"/>
        </w:rPr>
        <w:t>recerea de la principiul contributivit</w:t>
      </w:r>
      <w:r w:rsidR="00015514">
        <w:rPr>
          <w:rFonts w:cs="Arial"/>
        </w:rPr>
        <w:t xml:space="preserve">ății </w:t>
      </w:r>
      <w:r w:rsidR="00FD109E" w:rsidRPr="001D664C">
        <w:rPr>
          <w:rFonts w:cs="Arial"/>
        </w:rPr>
        <w:t>la principiul contractualit</w:t>
      </w:r>
      <w:r w:rsidR="00015514">
        <w:rPr>
          <w:rFonts w:cs="Arial"/>
        </w:rPr>
        <w:t>ăț</w:t>
      </w:r>
      <w:r w:rsidR="00FD109E" w:rsidRPr="001D664C">
        <w:rPr>
          <w:rFonts w:cs="Arial"/>
        </w:rPr>
        <w:t>ii</w:t>
      </w:r>
      <w:r w:rsidR="00015514">
        <w:rPr>
          <w:rFonts w:cs="Arial"/>
        </w:rPr>
        <w:t xml:space="preserve"> </w:t>
      </w:r>
      <w:r w:rsidR="00FD109E" w:rsidRPr="001D664C">
        <w:rPr>
          <w:rFonts w:cs="Arial"/>
        </w:rPr>
        <w:t>în sistemul C</w:t>
      </w:r>
      <w:r w:rsidR="00BC0D73">
        <w:rPr>
          <w:rFonts w:cs="Arial"/>
        </w:rPr>
        <w:t>.</w:t>
      </w:r>
      <w:r w:rsidR="00FD109E" w:rsidRPr="001D664C">
        <w:rPr>
          <w:rFonts w:cs="Arial"/>
        </w:rPr>
        <w:t>A</w:t>
      </w:r>
      <w:r w:rsidR="00BC0D73">
        <w:rPr>
          <w:rFonts w:cs="Arial"/>
        </w:rPr>
        <w:t>.</w:t>
      </w:r>
      <w:r w:rsidR="00FD109E" w:rsidRPr="001D664C">
        <w:rPr>
          <w:rFonts w:cs="Arial"/>
        </w:rPr>
        <w:t>A</w:t>
      </w:r>
      <w:r w:rsidR="00BC0D73">
        <w:rPr>
          <w:rFonts w:cs="Arial"/>
        </w:rPr>
        <w:t>.</w:t>
      </w:r>
      <w:r w:rsidR="00FD109E" w:rsidRPr="001D664C">
        <w:rPr>
          <w:rFonts w:cs="Arial"/>
        </w:rPr>
        <w:t>, care să permită inclusiv stabilirea unor pensii suplimentare</w:t>
      </w:r>
      <w:r w:rsidR="00BC0D73">
        <w:rPr>
          <w:rFonts w:cs="Arial"/>
        </w:rPr>
        <w:t>;</w:t>
      </w:r>
    </w:p>
    <w:p w:rsidR="00FD109E" w:rsidRPr="001D664C" w:rsidRDefault="00FD109E" w:rsidP="00FD109E">
      <w:pPr>
        <w:pStyle w:val="ListParagraph"/>
        <w:numPr>
          <w:ilvl w:val="1"/>
          <w:numId w:val="1"/>
        </w:numPr>
        <w:tabs>
          <w:tab w:val="left" w:pos="1701"/>
        </w:tabs>
        <w:ind w:left="1134" w:firstLine="284"/>
        <w:jc w:val="both"/>
        <w:rPr>
          <w:rFonts w:cs="Arial"/>
        </w:rPr>
      </w:pPr>
      <w:r w:rsidRPr="001D664C">
        <w:rPr>
          <w:rFonts w:cs="Arial"/>
        </w:rPr>
        <w:t>plata contribuțiilor la fondul de asigurări sociale al avocaților să se facă în raport de încasările efective, eliminându-se plafonul lunar minim (250 lei pentru avocații definitivi și 80 lei pentru avocații stagiari, în luna în care nu au fost realizate venituri);</w:t>
      </w:r>
    </w:p>
    <w:p w:rsidR="00DB468B" w:rsidRPr="001D664C" w:rsidRDefault="00E922E4" w:rsidP="00DB468B">
      <w:pPr>
        <w:pStyle w:val="ListParagraph"/>
        <w:numPr>
          <w:ilvl w:val="1"/>
          <w:numId w:val="1"/>
        </w:numPr>
        <w:tabs>
          <w:tab w:val="left" w:pos="1701"/>
        </w:tabs>
        <w:ind w:left="1134" w:firstLine="284"/>
        <w:jc w:val="both"/>
        <w:rPr>
          <w:rFonts w:cs="Arial"/>
        </w:rPr>
      </w:pPr>
      <w:r w:rsidRPr="001D664C">
        <w:rPr>
          <w:rFonts w:cs="Arial"/>
        </w:rPr>
        <w:lastRenderedPageBreak/>
        <w:t xml:space="preserve">plata </w:t>
      </w:r>
      <w:r w:rsidR="00660790" w:rsidRPr="001D664C">
        <w:rPr>
          <w:rFonts w:cs="Arial"/>
        </w:rPr>
        <w:t>contribuției</w:t>
      </w:r>
      <w:r w:rsidRPr="001D664C">
        <w:rPr>
          <w:rFonts w:cs="Arial"/>
        </w:rPr>
        <w:t xml:space="preserve"> </w:t>
      </w:r>
      <w:r w:rsidR="00DB468B" w:rsidRPr="001D664C">
        <w:rPr>
          <w:rFonts w:cs="Arial"/>
        </w:rPr>
        <w:t>de 5% către fondul de rezervă al</w:t>
      </w:r>
      <w:r w:rsidRPr="001D664C">
        <w:rPr>
          <w:rFonts w:cs="Arial"/>
        </w:rPr>
        <w:t xml:space="preserve"> C</w:t>
      </w:r>
      <w:r w:rsidR="00782F0E" w:rsidRPr="001D664C">
        <w:rPr>
          <w:rFonts w:cs="Arial"/>
        </w:rPr>
        <w:t>.A.A.</w:t>
      </w:r>
      <w:r w:rsidRPr="001D664C">
        <w:rPr>
          <w:rFonts w:cs="Arial"/>
        </w:rPr>
        <w:t xml:space="preserve"> să se facă în </w:t>
      </w:r>
      <w:r w:rsidR="00660790" w:rsidRPr="001D664C">
        <w:rPr>
          <w:rFonts w:cs="Arial"/>
        </w:rPr>
        <w:t>funcție</w:t>
      </w:r>
      <w:r w:rsidRPr="001D664C">
        <w:rPr>
          <w:rFonts w:cs="Arial"/>
        </w:rPr>
        <w:t xml:space="preserve"> de </w:t>
      </w:r>
      <w:r w:rsidR="00660790" w:rsidRPr="001D664C">
        <w:rPr>
          <w:rFonts w:cs="Arial"/>
        </w:rPr>
        <w:t>veniturile</w:t>
      </w:r>
      <w:r w:rsidR="00DB468B" w:rsidRPr="001D664C">
        <w:rPr>
          <w:rFonts w:cs="Arial"/>
        </w:rPr>
        <w:t xml:space="preserve"> din </w:t>
      </w:r>
      <w:r w:rsidR="00660790" w:rsidRPr="001D664C">
        <w:rPr>
          <w:rFonts w:cs="Arial"/>
        </w:rPr>
        <w:t>contribuțiile</w:t>
      </w:r>
      <w:r w:rsidR="00782F0E" w:rsidRPr="001D664C">
        <w:rPr>
          <w:rFonts w:cs="Arial"/>
        </w:rPr>
        <w:t xml:space="preserve"> </w:t>
      </w:r>
      <w:r w:rsidR="00660790" w:rsidRPr="001D664C">
        <w:rPr>
          <w:rFonts w:cs="Arial"/>
        </w:rPr>
        <w:t>avocaților</w:t>
      </w:r>
      <w:r w:rsidR="00DB468B" w:rsidRPr="001D664C">
        <w:rPr>
          <w:rFonts w:cs="Arial"/>
        </w:rPr>
        <w:t>, nu din toate veniturile</w:t>
      </w:r>
      <w:r w:rsidR="00425679">
        <w:rPr>
          <w:rFonts w:cs="Arial"/>
        </w:rPr>
        <w:t xml:space="preserve"> </w:t>
      </w:r>
      <w:r w:rsidR="00660790">
        <w:rPr>
          <w:rFonts w:cs="Arial"/>
        </w:rPr>
        <w:t>obținute</w:t>
      </w:r>
      <w:r w:rsidR="00425679">
        <w:rPr>
          <w:rFonts w:cs="Arial"/>
        </w:rPr>
        <w:t xml:space="preserve"> de filiale</w:t>
      </w:r>
      <w:r w:rsidR="003457B2" w:rsidRPr="001D664C">
        <w:rPr>
          <w:rFonts w:cs="Arial"/>
        </w:rPr>
        <w:t>;</w:t>
      </w:r>
    </w:p>
    <w:p w:rsidR="0003475F" w:rsidRPr="001D664C" w:rsidRDefault="00660790" w:rsidP="0003475F">
      <w:pPr>
        <w:pStyle w:val="ListParagraph"/>
        <w:numPr>
          <w:ilvl w:val="1"/>
          <w:numId w:val="1"/>
        </w:numPr>
        <w:tabs>
          <w:tab w:val="left" w:pos="1701"/>
        </w:tabs>
        <w:ind w:left="1134" w:firstLine="284"/>
        <w:jc w:val="both"/>
        <w:rPr>
          <w:rFonts w:cs="Arial"/>
        </w:rPr>
      </w:pPr>
      <w:r w:rsidRPr="001D664C">
        <w:rPr>
          <w:rFonts w:cs="Arial"/>
        </w:rPr>
        <w:t>eficientizarea</w:t>
      </w:r>
      <w:r w:rsidR="0003475F" w:rsidRPr="001D664C">
        <w:rPr>
          <w:rFonts w:cs="Arial"/>
        </w:rPr>
        <w:t xml:space="preserve"> </w:t>
      </w:r>
      <w:r w:rsidRPr="001D664C">
        <w:rPr>
          <w:rFonts w:cs="Arial"/>
        </w:rPr>
        <w:t>activității</w:t>
      </w:r>
      <w:r w:rsidR="0003475F" w:rsidRPr="001D664C">
        <w:rPr>
          <w:rFonts w:cs="Arial"/>
        </w:rPr>
        <w:t xml:space="preserve"> C</w:t>
      </w:r>
      <w:r w:rsidR="00782F0E" w:rsidRPr="001D664C">
        <w:rPr>
          <w:rFonts w:cs="Arial"/>
        </w:rPr>
        <w:t>.</w:t>
      </w:r>
      <w:r w:rsidR="0003475F" w:rsidRPr="001D664C">
        <w:rPr>
          <w:rFonts w:cs="Arial"/>
        </w:rPr>
        <w:t>A</w:t>
      </w:r>
      <w:r w:rsidR="00782F0E" w:rsidRPr="001D664C">
        <w:rPr>
          <w:rFonts w:cs="Arial"/>
        </w:rPr>
        <w:t>.</w:t>
      </w:r>
      <w:r w:rsidR="0003475F" w:rsidRPr="001D664C">
        <w:rPr>
          <w:rFonts w:cs="Arial"/>
        </w:rPr>
        <w:t>A</w:t>
      </w:r>
      <w:r w:rsidR="00782F0E" w:rsidRPr="001D664C">
        <w:rPr>
          <w:rFonts w:cs="Arial"/>
        </w:rPr>
        <w:t>.</w:t>
      </w:r>
      <w:r w:rsidR="0003475F" w:rsidRPr="001D664C">
        <w:rPr>
          <w:rFonts w:cs="Arial"/>
        </w:rPr>
        <w:t xml:space="preserve"> prin constituirea unei </w:t>
      </w:r>
      <w:r w:rsidRPr="001D664C">
        <w:rPr>
          <w:rFonts w:cs="Arial"/>
        </w:rPr>
        <w:t>instituții</w:t>
      </w:r>
      <w:r w:rsidR="0003475F" w:rsidRPr="001D664C">
        <w:rPr>
          <w:rFonts w:cs="Arial"/>
        </w:rPr>
        <w:t xml:space="preserve"> financiare care să utilizeze </w:t>
      </w:r>
      <w:r w:rsidRPr="001D664C">
        <w:rPr>
          <w:rFonts w:cs="Arial"/>
        </w:rPr>
        <w:t>lichiditățile</w:t>
      </w:r>
      <w:r w:rsidR="0003475F" w:rsidRPr="001D664C">
        <w:rPr>
          <w:rFonts w:cs="Arial"/>
        </w:rPr>
        <w:t xml:space="preserve"> din sistem;</w:t>
      </w:r>
    </w:p>
    <w:p w:rsidR="0003475F" w:rsidRPr="001D664C" w:rsidRDefault="00660790" w:rsidP="0003475F">
      <w:pPr>
        <w:pStyle w:val="ListParagraph"/>
        <w:numPr>
          <w:ilvl w:val="1"/>
          <w:numId w:val="1"/>
        </w:numPr>
        <w:tabs>
          <w:tab w:val="left" w:pos="1701"/>
        </w:tabs>
        <w:ind w:left="1134" w:firstLine="284"/>
        <w:jc w:val="both"/>
        <w:rPr>
          <w:rFonts w:cs="Arial"/>
        </w:rPr>
      </w:pPr>
      <w:r w:rsidRPr="001D664C">
        <w:rPr>
          <w:rFonts w:cs="Arial"/>
        </w:rPr>
        <w:t>înființarea</w:t>
      </w:r>
      <w:r w:rsidR="0003475F" w:rsidRPr="001D664C">
        <w:rPr>
          <w:rFonts w:cs="Arial"/>
        </w:rPr>
        <w:t xml:space="preserve"> Casei de ajutor Reciproc a </w:t>
      </w:r>
      <w:r w:rsidRPr="001D664C">
        <w:rPr>
          <w:rFonts w:cs="Arial"/>
        </w:rPr>
        <w:t>Avocaților</w:t>
      </w:r>
      <w:r w:rsidR="0003475F" w:rsidRPr="001D664C">
        <w:rPr>
          <w:rFonts w:cs="Arial"/>
        </w:rPr>
        <w:t xml:space="preserve"> </w:t>
      </w:r>
      <w:r w:rsidRPr="001D664C">
        <w:rPr>
          <w:rFonts w:cs="Arial"/>
        </w:rPr>
        <w:t>și</w:t>
      </w:r>
      <w:r w:rsidR="0003475F" w:rsidRPr="001D664C">
        <w:rPr>
          <w:rFonts w:cs="Arial"/>
        </w:rPr>
        <w:t xml:space="preserve"> a Casei de Credit </w:t>
      </w:r>
      <w:r w:rsidRPr="001D664C">
        <w:rPr>
          <w:rFonts w:cs="Arial"/>
        </w:rPr>
        <w:t>și</w:t>
      </w:r>
      <w:r w:rsidR="0003475F" w:rsidRPr="001D664C">
        <w:rPr>
          <w:rFonts w:cs="Arial"/>
        </w:rPr>
        <w:t xml:space="preserve"> Împrumut a </w:t>
      </w:r>
      <w:r w:rsidRPr="001D664C">
        <w:rPr>
          <w:rFonts w:cs="Arial"/>
        </w:rPr>
        <w:t>Avocaților</w:t>
      </w:r>
      <w:r w:rsidR="0003475F" w:rsidRPr="001D664C">
        <w:rPr>
          <w:rFonts w:cs="Arial"/>
        </w:rPr>
        <w:t>;</w:t>
      </w:r>
    </w:p>
    <w:p w:rsidR="00E27CFB" w:rsidRPr="001D664C" w:rsidRDefault="00E27CFB" w:rsidP="00E27CFB">
      <w:pPr>
        <w:pStyle w:val="ListParagraph"/>
        <w:numPr>
          <w:ilvl w:val="1"/>
          <w:numId w:val="1"/>
        </w:numPr>
        <w:tabs>
          <w:tab w:val="left" w:pos="1701"/>
        </w:tabs>
        <w:ind w:left="1134" w:firstLine="284"/>
        <w:jc w:val="both"/>
        <w:rPr>
          <w:rFonts w:cs="Arial"/>
        </w:rPr>
      </w:pPr>
      <w:r w:rsidRPr="001D664C">
        <w:rPr>
          <w:rFonts w:cs="Arial"/>
        </w:rPr>
        <w:t xml:space="preserve">prezentarea unui raport financiar-contabil al </w:t>
      </w:r>
      <w:r w:rsidR="00BC0D73">
        <w:rPr>
          <w:rFonts w:cs="Arial"/>
        </w:rPr>
        <w:t>C</w:t>
      </w:r>
      <w:r w:rsidRPr="001D664C">
        <w:rPr>
          <w:rFonts w:cs="Arial"/>
        </w:rPr>
        <w:t xml:space="preserve">omplexului Balnear </w:t>
      </w:r>
      <w:r w:rsidR="00015514" w:rsidRPr="001D664C">
        <w:rPr>
          <w:rFonts w:cs="Arial"/>
        </w:rPr>
        <w:t>și</w:t>
      </w:r>
      <w:r w:rsidRPr="001D664C">
        <w:rPr>
          <w:rFonts w:cs="Arial"/>
        </w:rPr>
        <w:t xml:space="preserve"> de Recuperare CAA SRL, care să clarifice, inclusiv metoda de salarizare a administratorului acestuia;</w:t>
      </w:r>
    </w:p>
    <w:p w:rsidR="00E27CFB" w:rsidRPr="001D664C" w:rsidRDefault="0003475F" w:rsidP="00E27CFB">
      <w:pPr>
        <w:pStyle w:val="ListParagraph"/>
        <w:numPr>
          <w:ilvl w:val="1"/>
          <w:numId w:val="1"/>
        </w:numPr>
        <w:tabs>
          <w:tab w:val="left" w:pos="1701"/>
        </w:tabs>
        <w:ind w:left="1134" w:firstLine="284"/>
        <w:jc w:val="both"/>
        <w:rPr>
          <w:rFonts w:cs="Arial"/>
        </w:rPr>
      </w:pPr>
      <w:r w:rsidRPr="001D664C">
        <w:rPr>
          <w:rFonts w:cs="Arial"/>
        </w:rPr>
        <w:t xml:space="preserve">analizarea tuturor </w:t>
      </w:r>
      <w:r w:rsidR="00015514" w:rsidRPr="001D664C">
        <w:rPr>
          <w:rFonts w:cs="Arial"/>
        </w:rPr>
        <w:t>investițiilor</w:t>
      </w:r>
      <w:r w:rsidRPr="001D664C">
        <w:rPr>
          <w:rFonts w:cs="Arial"/>
        </w:rPr>
        <w:t xml:space="preserve"> realizate de C</w:t>
      </w:r>
      <w:r w:rsidR="001D664C" w:rsidRPr="001D664C">
        <w:rPr>
          <w:rFonts w:cs="Arial"/>
        </w:rPr>
        <w:t>.</w:t>
      </w:r>
      <w:r w:rsidRPr="001D664C">
        <w:rPr>
          <w:rFonts w:cs="Arial"/>
        </w:rPr>
        <w:t>A</w:t>
      </w:r>
      <w:r w:rsidR="001D664C" w:rsidRPr="001D664C">
        <w:rPr>
          <w:rFonts w:cs="Arial"/>
        </w:rPr>
        <w:t>.</w:t>
      </w:r>
      <w:r w:rsidRPr="001D664C">
        <w:rPr>
          <w:rFonts w:cs="Arial"/>
        </w:rPr>
        <w:t>A</w:t>
      </w:r>
      <w:r w:rsidR="001D664C" w:rsidRPr="001D664C">
        <w:rPr>
          <w:rFonts w:cs="Arial"/>
        </w:rPr>
        <w:t>.</w:t>
      </w:r>
      <w:r w:rsidRPr="001D664C">
        <w:rPr>
          <w:rFonts w:cs="Arial"/>
        </w:rPr>
        <w:t xml:space="preserve"> </w:t>
      </w:r>
      <w:r w:rsidR="00015514" w:rsidRPr="001D664C">
        <w:rPr>
          <w:rFonts w:cs="Arial"/>
        </w:rPr>
        <w:t>și</w:t>
      </w:r>
      <w:r w:rsidRPr="001D664C">
        <w:rPr>
          <w:rFonts w:cs="Arial"/>
        </w:rPr>
        <w:t xml:space="preserve"> filiale </w:t>
      </w:r>
      <w:r w:rsidR="00015514" w:rsidRPr="001D664C">
        <w:rPr>
          <w:rFonts w:cs="Arial"/>
        </w:rPr>
        <w:t>și</w:t>
      </w:r>
      <w:r w:rsidRPr="001D664C">
        <w:rPr>
          <w:rFonts w:cs="Arial"/>
        </w:rPr>
        <w:t xml:space="preserve"> prezentarea unui raport care să </w:t>
      </w:r>
      <w:r w:rsidR="00015514" w:rsidRPr="001D664C">
        <w:rPr>
          <w:rFonts w:cs="Arial"/>
        </w:rPr>
        <w:t>evidențieze</w:t>
      </w:r>
      <w:r w:rsidRPr="001D664C">
        <w:rPr>
          <w:rFonts w:cs="Arial"/>
        </w:rPr>
        <w:t xml:space="preserve"> separat (C</w:t>
      </w:r>
      <w:r w:rsidR="001D664C" w:rsidRPr="001D664C">
        <w:rPr>
          <w:rFonts w:cs="Arial"/>
        </w:rPr>
        <w:t>.</w:t>
      </w:r>
      <w:r w:rsidRPr="001D664C">
        <w:rPr>
          <w:rFonts w:cs="Arial"/>
        </w:rPr>
        <w:t>A</w:t>
      </w:r>
      <w:r w:rsidR="001D664C" w:rsidRPr="001D664C">
        <w:rPr>
          <w:rFonts w:cs="Arial"/>
        </w:rPr>
        <w:t>.</w:t>
      </w:r>
      <w:r w:rsidRPr="001D664C">
        <w:rPr>
          <w:rFonts w:cs="Arial"/>
        </w:rPr>
        <w:t>A</w:t>
      </w:r>
      <w:r w:rsidR="001D664C" w:rsidRPr="001D664C">
        <w:rPr>
          <w:rFonts w:cs="Arial"/>
        </w:rPr>
        <w:t>.</w:t>
      </w:r>
      <w:r w:rsidR="009778A1">
        <w:rPr>
          <w:rFonts w:cs="Arial"/>
        </w:rPr>
        <w:t xml:space="preserve">/filiale) </w:t>
      </w:r>
      <w:r w:rsidR="00015514">
        <w:rPr>
          <w:rFonts w:cs="Arial"/>
        </w:rPr>
        <w:t>și</w:t>
      </w:r>
      <w:r w:rsidR="009778A1">
        <w:rPr>
          <w:rFonts w:cs="Arial"/>
        </w:rPr>
        <w:t xml:space="preserve"> </w:t>
      </w:r>
      <w:r w:rsidRPr="001D664C">
        <w:rPr>
          <w:rFonts w:cs="Arial"/>
        </w:rPr>
        <w:t xml:space="preserve">să cuprindă </w:t>
      </w:r>
      <w:r w:rsidR="00015514" w:rsidRPr="001D664C">
        <w:rPr>
          <w:rFonts w:cs="Arial"/>
        </w:rPr>
        <w:t>situația</w:t>
      </w:r>
      <w:r w:rsidRPr="001D664C">
        <w:rPr>
          <w:rFonts w:cs="Arial"/>
        </w:rPr>
        <w:t xml:space="preserve"> existentă, </w:t>
      </w:r>
      <w:r w:rsidR="00015514" w:rsidRPr="001D664C">
        <w:rPr>
          <w:rFonts w:cs="Arial"/>
        </w:rPr>
        <w:t>soluții</w:t>
      </w:r>
      <w:r w:rsidRPr="001D664C">
        <w:rPr>
          <w:rFonts w:cs="Arial"/>
        </w:rPr>
        <w:t xml:space="preserve"> în beneficiul </w:t>
      </w:r>
      <w:r w:rsidR="00015514" w:rsidRPr="001D664C">
        <w:rPr>
          <w:rFonts w:cs="Arial"/>
        </w:rPr>
        <w:t>asiguraților</w:t>
      </w:r>
      <w:r w:rsidRPr="001D664C">
        <w:rPr>
          <w:rFonts w:cs="Arial"/>
        </w:rPr>
        <w:t xml:space="preserve"> </w:t>
      </w:r>
      <w:r w:rsidR="00015514" w:rsidRPr="001D664C">
        <w:rPr>
          <w:rFonts w:cs="Arial"/>
        </w:rPr>
        <w:t>și</w:t>
      </w:r>
      <w:r w:rsidRPr="001D664C">
        <w:rPr>
          <w:rFonts w:cs="Arial"/>
        </w:rPr>
        <w:t xml:space="preserve"> eventual, responsabilii pentru </w:t>
      </w:r>
      <w:r w:rsidR="00015514" w:rsidRPr="001D664C">
        <w:rPr>
          <w:rFonts w:cs="Arial"/>
        </w:rPr>
        <w:t>situațiile</w:t>
      </w:r>
      <w:r w:rsidRPr="001D664C">
        <w:rPr>
          <w:rFonts w:cs="Arial"/>
        </w:rPr>
        <w:t xml:space="preserve"> constatate;</w:t>
      </w:r>
    </w:p>
    <w:p w:rsidR="00E27CFB" w:rsidRPr="001D664C" w:rsidRDefault="00015514" w:rsidP="00E27CFB">
      <w:pPr>
        <w:pStyle w:val="ListParagraph"/>
        <w:numPr>
          <w:ilvl w:val="1"/>
          <w:numId w:val="1"/>
        </w:numPr>
        <w:tabs>
          <w:tab w:val="left" w:pos="1701"/>
        </w:tabs>
        <w:ind w:left="1134" w:firstLine="284"/>
        <w:jc w:val="both"/>
        <w:rPr>
          <w:rFonts w:cs="Arial"/>
        </w:rPr>
      </w:pPr>
      <w:r w:rsidRPr="001D664C">
        <w:rPr>
          <w:rFonts w:cs="Arial"/>
        </w:rPr>
        <w:t>înființarea</w:t>
      </w:r>
      <w:r w:rsidR="0003475F" w:rsidRPr="001D664C">
        <w:rPr>
          <w:rFonts w:cs="Arial"/>
        </w:rPr>
        <w:t xml:space="preserve"> unei comisii pentru </w:t>
      </w:r>
      <w:r w:rsidRPr="001D664C">
        <w:rPr>
          <w:rFonts w:cs="Arial"/>
        </w:rPr>
        <w:t>investiții</w:t>
      </w:r>
      <w:r w:rsidR="0003475F" w:rsidRPr="001D664C">
        <w:rPr>
          <w:rFonts w:cs="Arial"/>
        </w:rPr>
        <w:t xml:space="preserve"> ale C</w:t>
      </w:r>
      <w:r w:rsidR="001D664C" w:rsidRPr="001D664C">
        <w:rPr>
          <w:rFonts w:cs="Arial"/>
        </w:rPr>
        <w:t>.</w:t>
      </w:r>
      <w:r w:rsidR="0003475F" w:rsidRPr="001D664C">
        <w:rPr>
          <w:rFonts w:cs="Arial"/>
        </w:rPr>
        <w:t>A</w:t>
      </w:r>
      <w:r w:rsidR="001D664C" w:rsidRPr="001D664C">
        <w:rPr>
          <w:rFonts w:cs="Arial"/>
        </w:rPr>
        <w:t>.</w:t>
      </w:r>
      <w:r w:rsidR="0003475F" w:rsidRPr="001D664C">
        <w:rPr>
          <w:rFonts w:cs="Arial"/>
        </w:rPr>
        <w:t>A</w:t>
      </w:r>
      <w:r w:rsidR="001D664C" w:rsidRPr="001D664C">
        <w:rPr>
          <w:rFonts w:cs="Arial"/>
        </w:rPr>
        <w:t>.</w:t>
      </w:r>
      <w:r w:rsidR="00BC0D73">
        <w:rPr>
          <w:rFonts w:cs="Arial"/>
        </w:rPr>
        <w:t>;</w:t>
      </w:r>
    </w:p>
    <w:p w:rsidR="00B208EA" w:rsidRPr="001D664C" w:rsidRDefault="004753C9" w:rsidP="00E27CFB">
      <w:pPr>
        <w:pStyle w:val="ListParagraph"/>
        <w:numPr>
          <w:ilvl w:val="1"/>
          <w:numId w:val="1"/>
        </w:numPr>
        <w:tabs>
          <w:tab w:val="left" w:pos="1701"/>
        </w:tabs>
        <w:ind w:left="1134" w:firstLine="284"/>
        <w:jc w:val="both"/>
        <w:rPr>
          <w:rFonts w:cs="Arial"/>
        </w:rPr>
      </w:pPr>
      <w:r w:rsidRPr="001D664C">
        <w:rPr>
          <w:rFonts w:cs="Arial"/>
        </w:rPr>
        <w:t>stabilirea unor tarife diferențiate și a unor prețuri accesibile pentru avocați la Complexul Balnear și de Recuperare ”Corpore Sano” Techirghiol.</w:t>
      </w:r>
    </w:p>
    <w:p w:rsidR="00B208EA" w:rsidRPr="001D664C" w:rsidRDefault="00B208EA" w:rsidP="00D97F42">
      <w:pPr>
        <w:pStyle w:val="ListParagraph"/>
        <w:rPr>
          <w:rFonts w:cs="Arial"/>
        </w:rPr>
      </w:pPr>
    </w:p>
    <w:p w:rsidR="00166577" w:rsidRPr="001D664C" w:rsidRDefault="00166577" w:rsidP="00166577">
      <w:pPr>
        <w:pStyle w:val="ListParagraph"/>
        <w:ind w:left="0" w:firstLine="709"/>
        <w:jc w:val="both"/>
        <w:rPr>
          <w:rFonts w:cs="Arial"/>
        </w:rPr>
      </w:pPr>
      <w:r w:rsidRPr="001D664C">
        <w:rPr>
          <w:rFonts w:cs="Arial"/>
        </w:rPr>
        <w:t xml:space="preserve">Art. 6. </w:t>
      </w:r>
      <w:r w:rsidR="00B208EA" w:rsidRPr="001D664C">
        <w:rPr>
          <w:rFonts w:cs="Arial"/>
        </w:rPr>
        <w:t xml:space="preserve">Se transmit </w:t>
      </w:r>
      <w:r w:rsidR="00BC0D73" w:rsidRPr="001D664C">
        <w:rPr>
          <w:rFonts w:cs="Arial"/>
        </w:rPr>
        <w:t>Consiliului C.A.A.</w:t>
      </w:r>
      <w:r w:rsidR="00BC0D73">
        <w:rPr>
          <w:rFonts w:cs="Arial"/>
        </w:rPr>
        <w:t xml:space="preserve"> </w:t>
      </w:r>
      <w:r w:rsidRPr="001D664C">
        <w:rPr>
          <w:rFonts w:cs="Arial"/>
        </w:rPr>
        <w:t>propunerile prevăzute în art. 5</w:t>
      </w:r>
      <w:r w:rsidR="00B208EA" w:rsidRPr="001D664C">
        <w:rPr>
          <w:rFonts w:cs="Arial"/>
        </w:rPr>
        <w:t>, în vederea analizei împreună cu consiliile de c</w:t>
      </w:r>
      <w:r w:rsidRPr="001D664C">
        <w:rPr>
          <w:rFonts w:cs="Arial"/>
        </w:rPr>
        <w:t xml:space="preserve">onducere ale filialelor C.A.A. </w:t>
      </w:r>
      <w:r w:rsidR="00015514" w:rsidRPr="001D664C">
        <w:rPr>
          <w:rFonts w:cs="Arial"/>
        </w:rPr>
        <w:t>și</w:t>
      </w:r>
      <w:r w:rsidRPr="001D664C">
        <w:rPr>
          <w:rFonts w:cs="Arial"/>
        </w:rPr>
        <w:t xml:space="preserve"> cu</w:t>
      </w:r>
      <w:r w:rsidR="00BC0D73">
        <w:rPr>
          <w:rFonts w:cs="Arial"/>
        </w:rPr>
        <w:t xml:space="preserve"> </w:t>
      </w:r>
      <w:r w:rsidR="00015514" w:rsidRPr="001D664C">
        <w:rPr>
          <w:rFonts w:cs="Arial"/>
        </w:rPr>
        <w:t>specialiști</w:t>
      </w:r>
      <w:r w:rsidRPr="001D664C">
        <w:rPr>
          <w:rFonts w:cs="Arial"/>
        </w:rPr>
        <w:t xml:space="preserve"> </w:t>
      </w:r>
      <w:r w:rsidR="00015514" w:rsidRPr="001D664C">
        <w:rPr>
          <w:rFonts w:cs="Arial"/>
        </w:rPr>
        <w:t>independenți</w:t>
      </w:r>
      <w:r w:rsidRPr="001D664C">
        <w:rPr>
          <w:rFonts w:cs="Arial"/>
        </w:rPr>
        <w:t>, pentru redactarea unui raport cu privire la acestea, care să</w:t>
      </w:r>
      <w:r w:rsidR="00BC0D73">
        <w:rPr>
          <w:rFonts w:cs="Arial"/>
        </w:rPr>
        <w:t xml:space="preserve"> </w:t>
      </w:r>
      <w:r w:rsidR="00015514" w:rsidRPr="001D664C">
        <w:rPr>
          <w:rFonts w:cs="Arial"/>
        </w:rPr>
        <w:t>țină</w:t>
      </w:r>
      <w:r w:rsidRPr="001D664C">
        <w:rPr>
          <w:rFonts w:cs="Arial"/>
        </w:rPr>
        <w:t xml:space="preserve"> cont de impactul asupra s</w:t>
      </w:r>
      <w:r w:rsidR="001149A1">
        <w:rPr>
          <w:rFonts w:cs="Arial"/>
        </w:rPr>
        <w:t>istemului centralizat al C.A.A.</w:t>
      </w:r>
      <w:r w:rsidRPr="001D664C">
        <w:rPr>
          <w:rFonts w:cs="Arial"/>
        </w:rPr>
        <w:t xml:space="preserve"> </w:t>
      </w:r>
      <w:r w:rsidR="00015514">
        <w:rPr>
          <w:rFonts w:cs="Arial"/>
        </w:rPr>
        <w:t>și</w:t>
      </w:r>
      <w:r w:rsidR="001149A1">
        <w:rPr>
          <w:rFonts w:cs="Arial"/>
        </w:rPr>
        <w:t xml:space="preserve"> </w:t>
      </w:r>
      <w:r w:rsidRPr="001D664C">
        <w:rPr>
          <w:rFonts w:cs="Arial"/>
        </w:rPr>
        <w:t xml:space="preserve">să aibă </w:t>
      </w:r>
      <w:r w:rsidR="00015514" w:rsidRPr="001D664C">
        <w:rPr>
          <w:rFonts w:cs="Arial"/>
        </w:rPr>
        <w:t>atașat</w:t>
      </w:r>
      <w:r w:rsidRPr="001D664C">
        <w:rPr>
          <w:rFonts w:cs="Arial"/>
        </w:rPr>
        <w:t xml:space="preserve"> punctul de vedere al Comisie de Cenzori a C.A.A., care v</w:t>
      </w:r>
      <w:r w:rsidR="001149A1">
        <w:rPr>
          <w:rFonts w:cs="Arial"/>
        </w:rPr>
        <w:t>or</w:t>
      </w:r>
      <w:r w:rsidRPr="001D664C">
        <w:rPr>
          <w:rFonts w:cs="Arial"/>
        </w:rPr>
        <w:t xml:space="preserve"> fi dezbătut</w:t>
      </w:r>
      <w:r w:rsidR="001149A1">
        <w:rPr>
          <w:rFonts w:cs="Arial"/>
        </w:rPr>
        <w:t>e</w:t>
      </w:r>
      <w:r w:rsidRPr="001D664C">
        <w:rPr>
          <w:rFonts w:cs="Arial"/>
        </w:rPr>
        <w:t xml:space="preserve"> în ședința Consiliului U.N.B.R. din data de 4-5 iunie 2016.</w:t>
      </w:r>
    </w:p>
    <w:p w:rsidR="00166577" w:rsidRPr="001D664C" w:rsidRDefault="00166577" w:rsidP="00166577">
      <w:pPr>
        <w:ind w:firstLine="708"/>
        <w:jc w:val="both"/>
        <w:rPr>
          <w:rFonts w:cs="Arial"/>
        </w:rPr>
      </w:pPr>
    </w:p>
    <w:p w:rsidR="00B208EA" w:rsidRDefault="00166577" w:rsidP="00166577">
      <w:pPr>
        <w:ind w:firstLine="708"/>
        <w:jc w:val="both"/>
        <w:rPr>
          <w:rFonts w:cs="Arial"/>
        </w:rPr>
      </w:pPr>
      <w:r w:rsidRPr="001D664C">
        <w:rPr>
          <w:rFonts w:cs="Arial"/>
        </w:rPr>
        <w:t>Art. 7. S</w:t>
      </w:r>
      <w:r w:rsidR="00B208EA" w:rsidRPr="001D664C">
        <w:rPr>
          <w:rFonts w:cs="Arial"/>
        </w:rPr>
        <w:t>oluțiile adoptate în urma dezbaterilor din ședința Consiliului U.N.B.R. se vor comunica delegaților la Congres, autori ai propunerilor.</w:t>
      </w:r>
    </w:p>
    <w:p w:rsidR="009778A1" w:rsidRDefault="009778A1" w:rsidP="00166577">
      <w:pPr>
        <w:ind w:firstLine="708"/>
        <w:jc w:val="both"/>
        <w:rPr>
          <w:rFonts w:cs="Arial"/>
        </w:rPr>
      </w:pPr>
    </w:p>
    <w:p w:rsidR="009778A1" w:rsidRPr="001D664C" w:rsidRDefault="009778A1" w:rsidP="00166577">
      <w:pPr>
        <w:ind w:firstLine="708"/>
        <w:jc w:val="both"/>
        <w:rPr>
          <w:rFonts w:cs="Arial"/>
        </w:rPr>
      </w:pPr>
      <w:r>
        <w:rPr>
          <w:rFonts w:cs="Arial"/>
        </w:rPr>
        <w:t xml:space="preserve">Art. 8. </w:t>
      </w:r>
      <w:r w:rsidRPr="009778A1">
        <w:rPr>
          <w:rFonts w:cs="Arial"/>
        </w:rPr>
        <w:t xml:space="preserve">Prezenta Hotărâre se </w:t>
      </w:r>
      <w:r w:rsidR="00015514" w:rsidRPr="009778A1">
        <w:rPr>
          <w:rFonts w:cs="Arial"/>
        </w:rPr>
        <w:t>afișează</w:t>
      </w:r>
      <w:r w:rsidRPr="009778A1">
        <w:rPr>
          <w:rFonts w:cs="Arial"/>
        </w:rPr>
        <w:t xml:space="preserve"> pe pagina web a Uniunii </w:t>
      </w:r>
      <w:r w:rsidR="00015514" w:rsidRPr="009778A1">
        <w:rPr>
          <w:rFonts w:cs="Arial"/>
        </w:rPr>
        <w:t>Naționale</w:t>
      </w:r>
      <w:r w:rsidRPr="009778A1">
        <w:rPr>
          <w:rFonts w:cs="Arial"/>
        </w:rPr>
        <w:t xml:space="preserve"> a Barourilor din România (</w:t>
      </w:r>
      <w:hyperlink r:id="rId7" w:history="1">
        <w:r w:rsidRPr="009778A1">
          <w:rPr>
            <w:rStyle w:val="Hyperlink"/>
            <w:rFonts w:cs="Arial"/>
          </w:rPr>
          <w:t>www.unbr.ro</w:t>
        </w:r>
      </w:hyperlink>
      <w:r w:rsidRPr="009778A1">
        <w:rPr>
          <w:rFonts w:cs="Arial"/>
        </w:rPr>
        <w:t xml:space="preserve">) </w:t>
      </w:r>
      <w:r w:rsidR="00015514" w:rsidRPr="009778A1">
        <w:rPr>
          <w:rFonts w:cs="Arial"/>
        </w:rPr>
        <w:t>și</w:t>
      </w:r>
      <w:r w:rsidRPr="009778A1">
        <w:rPr>
          <w:rFonts w:cs="Arial"/>
        </w:rPr>
        <w:t xml:space="preserve"> se comunică prin e-mail barourilor, care vor asigura comunicarea hotărârii către membrii barourilor.</w:t>
      </w:r>
    </w:p>
    <w:p w:rsidR="00166577" w:rsidRPr="001D664C" w:rsidRDefault="00166577" w:rsidP="00166577">
      <w:pPr>
        <w:ind w:firstLine="708"/>
        <w:jc w:val="both"/>
        <w:rPr>
          <w:rFonts w:cs="Arial"/>
        </w:rPr>
      </w:pPr>
    </w:p>
    <w:p w:rsidR="00166577" w:rsidRPr="001D664C" w:rsidRDefault="00166577" w:rsidP="00166577">
      <w:pPr>
        <w:ind w:firstLine="708"/>
        <w:jc w:val="both"/>
        <w:rPr>
          <w:rFonts w:cs="Arial"/>
        </w:rPr>
      </w:pPr>
    </w:p>
    <w:p w:rsidR="00166577" w:rsidRDefault="00166577" w:rsidP="00166577">
      <w:pPr>
        <w:ind w:firstLine="708"/>
        <w:jc w:val="both"/>
        <w:rPr>
          <w:rFonts w:cs="Arial"/>
        </w:rPr>
      </w:pPr>
    </w:p>
    <w:p w:rsidR="00015514" w:rsidRPr="001D664C" w:rsidRDefault="00015514" w:rsidP="00166577">
      <w:pPr>
        <w:ind w:firstLine="708"/>
        <w:jc w:val="both"/>
        <w:rPr>
          <w:rFonts w:cs="Arial"/>
        </w:rPr>
      </w:pPr>
    </w:p>
    <w:p w:rsidR="00166577" w:rsidRPr="001D664C" w:rsidRDefault="00166577" w:rsidP="00166577">
      <w:pPr>
        <w:spacing w:line="276" w:lineRule="auto"/>
        <w:jc w:val="center"/>
        <w:rPr>
          <w:rFonts w:eastAsia="Times New Roman" w:cs="Arial"/>
          <w:b/>
          <w:color w:val="000000"/>
        </w:rPr>
      </w:pPr>
      <w:r w:rsidRPr="001D664C">
        <w:rPr>
          <w:rFonts w:eastAsia="Times New Roman" w:cs="Arial"/>
          <w:b/>
          <w:color w:val="000000"/>
        </w:rPr>
        <w:t>pentru Prezidiul Congresului,</w:t>
      </w:r>
    </w:p>
    <w:p w:rsidR="00166577" w:rsidRPr="001D664C" w:rsidRDefault="00166577" w:rsidP="00166577">
      <w:pPr>
        <w:spacing w:line="276" w:lineRule="auto"/>
        <w:jc w:val="center"/>
        <w:rPr>
          <w:rFonts w:eastAsia="Times New Roman" w:cs="Arial"/>
          <w:b/>
          <w:color w:val="000000"/>
        </w:rPr>
      </w:pPr>
    </w:p>
    <w:p w:rsidR="00166577" w:rsidRPr="001D664C" w:rsidRDefault="00166577" w:rsidP="00166577">
      <w:pPr>
        <w:spacing w:line="276" w:lineRule="auto"/>
        <w:jc w:val="center"/>
        <w:rPr>
          <w:rFonts w:eastAsia="Times New Roman" w:cs="Arial"/>
          <w:b/>
          <w:color w:val="000000"/>
        </w:rPr>
      </w:pPr>
      <w:r w:rsidRPr="001D664C">
        <w:rPr>
          <w:rFonts w:eastAsia="Times New Roman" w:cs="Arial"/>
          <w:b/>
          <w:color w:val="000000"/>
        </w:rPr>
        <w:t>P R E Ş E D I N T E  U.N.B.R.</w:t>
      </w:r>
    </w:p>
    <w:p w:rsidR="00166577" w:rsidRPr="001D664C" w:rsidRDefault="00166577" w:rsidP="00166577">
      <w:pPr>
        <w:spacing w:line="276" w:lineRule="auto"/>
        <w:jc w:val="center"/>
        <w:rPr>
          <w:rFonts w:eastAsia="Times New Roman" w:cs="Arial"/>
          <w:b/>
          <w:color w:val="000000"/>
        </w:rPr>
      </w:pPr>
      <w:r w:rsidRPr="001D664C">
        <w:rPr>
          <w:rFonts w:eastAsia="Times New Roman" w:cs="Arial"/>
          <w:b/>
          <w:color w:val="000000"/>
        </w:rPr>
        <w:t>Av. dr. Gheorghe FLOREA</w:t>
      </w:r>
    </w:p>
    <w:p w:rsidR="00166577" w:rsidRPr="001D664C" w:rsidRDefault="00166577" w:rsidP="00166577">
      <w:pPr>
        <w:spacing w:line="276" w:lineRule="auto"/>
        <w:jc w:val="center"/>
        <w:rPr>
          <w:rFonts w:eastAsia="Times New Roman" w:cs="Arial"/>
          <w:b/>
          <w:color w:val="000000"/>
        </w:rPr>
      </w:pPr>
    </w:p>
    <w:p w:rsidR="00166577" w:rsidRPr="001D664C" w:rsidRDefault="00166577" w:rsidP="00166577">
      <w:pPr>
        <w:spacing w:line="276" w:lineRule="auto"/>
        <w:jc w:val="center"/>
        <w:rPr>
          <w:rFonts w:eastAsia="Times New Roman" w:cs="Arial"/>
          <w:b/>
          <w:color w:val="000000"/>
        </w:rPr>
      </w:pPr>
    </w:p>
    <w:p w:rsidR="00166577" w:rsidRPr="001D664C" w:rsidRDefault="00166577" w:rsidP="00166577">
      <w:pPr>
        <w:spacing w:line="276" w:lineRule="auto"/>
        <w:jc w:val="center"/>
        <w:rPr>
          <w:rFonts w:eastAsia="Times New Roman" w:cs="Arial"/>
          <w:b/>
          <w:color w:val="000000"/>
        </w:rPr>
      </w:pPr>
    </w:p>
    <w:p w:rsidR="00166577" w:rsidRPr="001D664C" w:rsidRDefault="00166577" w:rsidP="00166577">
      <w:pPr>
        <w:spacing w:line="276" w:lineRule="auto"/>
        <w:jc w:val="center"/>
        <w:rPr>
          <w:rFonts w:eastAsia="Times New Roman" w:cs="Arial"/>
          <w:b/>
          <w:color w:val="000000"/>
        </w:rPr>
      </w:pPr>
    </w:p>
    <w:p w:rsidR="00166577" w:rsidRPr="001D664C" w:rsidRDefault="00166577" w:rsidP="00166577">
      <w:pPr>
        <w:spacing w:line="276" w:lineRule="auto"/>
        <w:jc w:val="center"/>
        <w:rPr>
          <w:rFonts w:cs="Arial"/>
        </w:rPr>
      </w:pPr>
    </w:p>
    <w:p w:rsidR="00166577" w:rsidRPr="001D664C" w:rsidRDefault="00166577" w:rsidP="00166577">
      <w:pPr>
        <w:ind w:firstLine="708"/>
        <w:jc w:val="both"/>
        <w:rPr>
          <w:rFonts w:cs="Arial"/>
          <w:b/>
          <w:i/>
        </w:rPr>
      </w:pPr>
    </w:p>
    <w:p w:rsidR="00B208EA" w:rsidRPr="001D664C" w:rsidRDefault="00B208EA" w:rsidP="00D97F42">
      <w:pPr>
        <w:jc w:val="both"/>
        <w:rPr>
          <w:rFonts w:cs="Arial"/>
        </w:rPr>
      </w:pPr>
    </w:p>
    <w:sectPr w:rsidR="00B208EA" w:rsidRPr="001D664C" w:rsidSect="00DB468B">
      <w:footerReference w:type="default" r:id="rId8"/>
      <w:pgSz w:w="11906" w:h="16838"/>
      <w:pgMar w:top="1134" w:right="1274" w:bottom="1135" w:left="1701" w:header="708" w:footer="4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664C" w:rsidRDefault="001D664C" w:rsidP="00415180">
      <w:r>
        <w:separator/>
      </w:r>
    </w:p>
  </w:endnote>
  <w:endnote w:type="continuationSeparator" w:id="0">
    <w:p w:rsidR="001D664C" w:rsidRDefault="001D664C" w:rsidP="00415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4009615"/>
      <w:docPartObj>
        <w:docPartGallery w:val="Page Numbers (Bottom of Page)"/>
        <w:docPartUnique/>
      </w:docPartObj>
    </w:sdtPr>
    <w:sdtEndPr/>
    <w:sdtContent>
      <w:p w:rsidR="001D664C" w:rsidRDefault="0088597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5C3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D664C" w:rsidRDefault="001D66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664C" w:rsidRDefault="001D664C" w:rsidP="00415180">
      <w:r>
        <w:separator/>
      </w:r>
    </w:p>
  </w:footnote>
  <w:footnote w:type="continuationSeparator" w:id="0">
    <w:p w:rsidR="001D664C" w:rsidRDefault="001D664C" w:rsidP="004151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676A25"/>
    <w:multiLevelType w:val="hybridMultilevel"/>
    <w:tmpl w:val="B1221A10"/>
    <w:lvl w:ilvl="0" w:tplc="5AACE31E">
      <w:start w:val="1"/>
      <w:numFmt w:val="decimal"/>
      <w:lvlText w:val="%1."/>
      <w:lvlJc w:val="left"/>
      <w:pPr>
        <w:ind w:left="178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508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22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4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6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38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0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2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48" w:hanging="180"/>
      </w:pPr>
      <w:rPr>
        <w:rFonts w:cs="Times New Roman"/>
      </w:rPr>
    </w:lvl>
  </w:abstractNum>
  <w:abstractNum w:abstractNumId="1" w15:restartNumberingAfterBreak="0">
    <w:nsid w:val="3F3F0BD9"/>
    <w:multiLevelType w:val="hybridMultilevel"/>
    <w:tmpl w:val="70EA4F50"/>
    <w:lvl w:ilvl="0" w:tplc="BF26C462">
      <w:start w:val="1"/>
      <w:numFmt w:val="upperRoman"/>
      <w:lvlText w:val="%1."/>
      <w:lvlJc w:val="left"/>
      <w:pPr>
        <w:ind w:left="1428" w:hanging="720"/>
      </w:pPr>
      <w:rPr>
        <w:rFonts w:cs="Times New Roman" w:hint="default"/>
      </w:rPr>
    </w:lvl>
    <w:lvl w:ilvl="1" w:tplc="0418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 w15:restartNumberingAfterBreak="0">
    <w:nsid w:val="4E8476D0"/>
    <w:multiLevelType w:val="hybridMultilevel"/>
    <w:tmpl w:val="BC8CE3AA"/>
    <w:lvl w:ilvl="0" w:tplc="E256883A">
      <w:start w:val="1"/>
      <w:numFmt w:val="decimal"/>
      <w:lvlText w:val="%1."/>
      <w:lvlJc w:val="left"/>
      <w:pPr>
        <w:ind w:left="1776" w:hanging="360"/>
      </w:pPr>
      <w:rPr>
        <w:rFonts w:cs="Times New Roman" w:hint="default"/>
      </w:rPr>
    </w:lvl>
    <w:lvl w:ilvl="1" w:tplc="04180019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3" w15:restartNumberingAfterBreak="0">
    <w:nsid w:val="55B3742D"/>
    <w:multiLevelType w:val="hybridMultilevel"/>
    <w:tmpl w:val="4DEE1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6A6D7B"/>
    <w:multiLevelType w:val="hybridMultilevel"/>
    <w:tmpl w:val="94760620"/>
    <w:lvl w:ilvl="0" w:tplc="0418000F">
      <w:start w:val="1"/>
      <w:numFmt w:val="decimal"/>
      <w:lvlText w:val="%1."/>
      <w:lvlJc w:val="left"/>
      <w:pPr>
        <w:ind w:left="1776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69EB"/>
    <w:rsid w:val="00011A60"/>
    <w:rsid w:val="00015514"/>
    <w:rsid w:val="0003475F"/>
    <w:rsid w:val="00035291"/>
    <w:rsid w:val="0007736B"/>
    <w:rsid w:val="0008259F"/>
    <w:rsid w:val="000A2141"/>
    <w:rsid w:val="000B635B"/>
    <w:rsid w:val="000D4364"/>
    <w:rsid w:val="000F6F7C"/>
    <w:rsid w:val="001149A1"/>
    <w:rsid w:val="00150D74"/>
    <w:rsid w:val="00164556"/>
    <w:rsid w:val="00165115"/>
    <w:rsid w:val="00166577"/>
    <w:rsid w:val="001B1431"/>
    <w:rsid w:val="001D664C"/>
    <w:rsid w:val="00231AB1"/>
    <w:rsid w:val="00236874"/>
    <w:rsid w:val="00291017"/>
    <w:rsid w:val="002D4F90"/>
    <w:rsid w:val="00327DF0"/>
    <w:rsid w:val="003457B2"/>
    <w:rsid w:val="003F7D06"/>
    <w:rsid w:val="00414DF8"/>
    <w:rsid w:val="00415180"/>
    <w:rsid w:val="00425679"/>
    <w:rsid w:val="004753C9"/>
    <w:rsid w:val="004A3A17"/>
    <w:rsid w:val="004B0114"/>
    <w:rsid w:val="004E38BA"/>
    <w:rsid w:val="004F3525"/>
    <w:rsid w:val="0057327A"/>
    <w:rsid w:val="005C5208"/>
    <w:rsid w:val="00660790"/>
    <w:rsid w:val="00662E0E"/>
    <w:rsid w:val="00702C8E"/>
    <w:rsid w:val="007207C4"/>
    <w:rsid w:val="00736A2C"/>
    <w:rsid w:val="00782F0E"/>
    <w:rsid w:val="00791E16"/>
    <w:rsid w:val="00797D2D"/>
    <w:rsid w:val="00824452"/>
    <w:rsid w:val="00834D0C"/>
    <w:rsid w:val="0088597A"/>
    <w:rsid w:val="008A4D38"/>
    <w:rsid w:val="008D6DF5"/>
    <w:rsid w:val="009369EB"/>
    <w:rsid w:val="00941E30"/>
    <w:rsid w:val="009778A1"/>
    <w:rsid w:val="00993FFC"/>
    <w:rsid w:val="009A036D"/>
    <w:rsid w:val="00A0706F"/>
    <w:rsid w:val="00A10D78"/>
    <w:rsid w:val="00A507EE"/>
    <w:rsid w:val="00A80F6A"/>
    <w:rsid w:val="00AA0340"/>
    <w:rsid w:val="00AA5E12"/>
    <w:rsid w:val="00AB3BB1"/>
    <w:rsid w:val="00AD3E92"/>
    <w:rsid w:val="00B16D3E"/>
    <w:rsid w:val="00B17833"/>
    <w:rsid w:val="00B208EA"/>
    <w:rsid w:val="00B548E9"/>
    <w:rsid w:val="00BC0D73"/>
    <w:rsid w:val="00BC1CD5"/>
    <w:rsid w:val="00BE3627"/>
    <w:rsid w:val="00BE3CE8"/>
    <w:rsid w:val="00BF581C"/>
    <w:rsid w:val="00C83FD5"/>
    <w:rsid w:val="00D36E82"/>
    <w:rsid w:val="00D74C27"/>
    <w:rsid w:val="00D97F42"/>
    <w:rsid w:val="00DA3B15"/>
    <w:rsid w:val="00DB468B"/>
    <w:rsid w:val="00DC6466"/>
    <w:rsid w:val="00E01C6E"/>
    <w:rsid w:val="00E27CFB"/>
    <w:rsid w:val="00E46DC4"/>
    <w:rsid w:val="00E6217C"/>
    <w:rsid w:val="00E6304B"/>
    <w:rsid w:val="00E863BA"/>
    <w:rsid w:val="00E922E4"/>
    <w:rsid w:val="00EC4302"/>
    <w:rsid w:val="00ED2976"/>
    <w:rsid w:val="00EE3DDA"/>
    <w:rsid w:val="00F024DB"/>
    <w:rsid w:val="00F228E6"/>
    <w:rsid w:val="00F238B0"/>
    <w:rsid w:val="00F65C34"/>
    <w:rsid w:val="00F72398"/>
    <w:rsid w:val="00F86345"/>
    <w:rsid w:val="00F93035"/>
    <w:rsid w:val="00FB37D7"/>
    <w:rsid w:val="00FB4604"/>
    <w:rsid w:val="00FD1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1F871E4-24D4-4D73-AF58-724223210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259F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8259F"/>
    <w:pPr>
      <w:keepNext/>
      <w:jc w:val="center"/>
      <w:outlineLvl w:val="0"/>
    </w:pPr>
    <w:rPr>
      <w:rFonts w:eastAsia="Times New Roman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8259F"/>
    <w:rPr>
      <w:rFonts w:ascii="Tahoma" w:hAnsi="Tahoma" w:cs="Tahoma"/>
      <w:b/>
      <w:bCs/>
      <w:sz w:val="24"/>
      <w:szCs w:val="24"/>
      <w:u w:val="single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736A2C"/>
    <w:rPr>
      <w:rFonts w:ascii="Tahoma" w:hAnsi="Tahoma" w:cs="Tahoma"/>
      <w:sz w:val="16"/>
      <w:szCs w:val="16"/>
      <w:lang w:eastAsia="ro-RO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17833"/>
    <w:rPr>
      <w:rFonts w:ascii="Times New Roman" w:hAnsi="Times New Roman" w:cs="Times New Roman"/>
      <w:sz w:val="2"/>
      <w:lang w:eastAsia="en-US"/>
    </w:rPr>
  </w:style>
  <w:style w:type="table" w:styleId="TableGrid">
    <w:name w:val="Table Grid"/>
    <w:basedOn w:val="TableNormal"/>
    <w:uiPriority w:val="99"/>
    <w:rsid w:val="0008259F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69E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locked/>
    <w:rsid w:val="0041518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5180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locked/>
    <w:rsid w:val="0041518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5180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locked/>
    <w:rsid w:val="009778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unbr.r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3</Pages>
  <Words>1036</Words>
  <Characters>5910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HOTARARE</vt:lpstr>
    </vt:vector>
  </TitlesOfParts>
  <Company>Grizli777</Company>
  <LinksUpToDate>false</LinksUpToDate>
  <CharactersWithSpaces>6933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HOTARARE</dc:title>
  <dc:creator>Sandu Gh.</dc:creator>
  <cp:lastModifiedBy>Sandu Gherasim</cp:lastModifiedBy>
  <cp:revision>41</cp:revision>
  <cp:lastPrinted>2016-03-28T12:16:00Z</cp:lastPrinted>
  <dcterms:created xsi:type="dcterms:W3CDTF">2016-03-28T10:18:00Z</dcterms:created>
  <dcterms:modified xsi:type="dcterms:W3CDTF">2016-04-01T10:49:00Z</dcterms:modified>
</cp:coreProperties>
</file>