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9D" w:rsidRPr="009F47BB" w:rsidRDefault="003F249D" w:rsidP="003F249D">
      <w:pPr>
        <w:pStyle w:val="Title"/>
        <w:rPr>
          <w:rFonts w:ascii="Arial" w:hAnsi="Arial" w:cs="Arial"/>
          <w:szCs w:val="32"/>
          <w:lang w:val="ro-RO"/>
        </w:rPr>
      </w:pPr>
      <w:r w:rsidRPr="009F47BB">
        <w:rPr>
          <w:rFonts w:ascii="Arial" w:hAnsi="Arial" w:cs="Arial"/>
          <w:szCs w:val="32"/>
          <w:lang w:val="ro-RO"/>
        </w:rPr>
        <w:t>UNIUNEA NAŢIONALĂ A BAROURILOR DIN ROMÂNIA</w:t>
      </w:r>
    </w:p>
    <w:p w:rsidR="003F249D" w:rsidRPr="009F47BB" w:rsidRDefault="00B360B4" w:rsidP="003F249D">
      <w:pPr>
        <w:pStyle w:val="Decizie"/>
        <w:rPr>
          <w:rFonts w:ascii="Arial" w:hAnsi="Arial" w:cs="Arial"/>
          <w:sz w:val="32"/>
          <w:szCs w:val="32"/>
          <w:lang w:val="ro-RO"/>
        </w:rPr>
      </w:pPr>
      <w:r w:rsidRPr="009F47BB">
        <w:rPr>
          <w:rFonts w:ascii="Arial" w:hAnsi="Arial" w:cs="Arial"/>
          <w:sz w:val="32"/>
          <w:szCs w:val="32"/>
          <w:lang w:val="ro-RO"/>
        </w:rPr>
        <w:t xml:space="preserve"> COMISIA PERMANENT</w:t>
      </w:r>
      <w:r w:rsidR="00B764E8">
        <w:rPr>
          <w:rFonts w:ascii="Arial" w:hAnsi="Arial" w:cs="Arial"/>
          <w:sz w:val="32"/>
          <w:szCs w:val="32"/>
          <w:lang w:val="ro-RO"/>
        </w:rPr>
        <w:t>Ă</w:t>
      </w:r>
    </w:p>
    <w:p w:rsidR="003F249D" w:rsidRPr="009F47BB" w:rsidRDefault="003F249D" w:rsidP="003F249D">
      <w:pPr>
        <w:pStyle w:val="Decizie"/>
        <w:rPr>
          <w:rFonts w:ascii="Arial" w:hAnsi="Arial" w:cs="Arial"/>
          <w:sz w:val="32"/>
          <w:szCs w:val="32"/>
          <w:lang w:val="ro-RO"/>
        </w:rPr>
      </w:pPr>
    </w:p>
    <w:p w:rsidR="00B764E8" w:rsidRDefault="00B764E8" w:rsidP="003F249D">
      <w:pPr>
        <w:pStyle w:val="Decizie"/>
        <w:rPr>
          <w:rFonts w:ascii="Arial" w:hAnsi="Arial" w:cs="Arial"/>
          <w:sz w:val="32"/>
          <w:szCs w:val="32"/>
          <w:lang w:val="ro-RO"/>
        </w:rPr>
      </w:pPr>
    </w:p>
    <w:p w:rsidR="00E63A54" w:rsidRPr="009F47BB" w:rsidRDefault="00E63A54" w:rsidP="003F249D">
      <w:pPr>
        <w:pStyle w:val="Decizie"/>
        <w:rPr>
          <w:rFonts w:ascii="Arial" w:hAnsi="Arial" w:cs="Arial"/>
          <w:sz w:val="32"/>
          <w:szCs w:val="32"/>
          <w:lang w:val="ro-RO"/>
        </w:rPr>
      </w:pPr>
    </w:p>
    <w:p w:rsidR="003F249D" w:rsidRPr="009F47BB" w:rsidRDefault="003F249D" w:rsidP="003F249D">
      <w:pPr>
        <w:pStyle w:val="Decizie"/>
        <w:rPr>
          <w:rFonts w:ascii="Arial" w:hAnsi="Arial" w:cs="Arial"/>
          <w:sz w:val="32"/>
          <w:szCs w:val="32"/>
          <w:lang w:val="ro-RO"/>
        </w:rPr>
      </w:pPr>
    </w:p>
    <w:p w:rsidR="003F249D" w:rsidRPr="00B86419" w:rsidRDefault="003F249D" w:rsidP="003F249D">
      <w:pPr>
        <w:pStyle w:val="Decizie"/>
        <w:rPr>
          <w:rFonts w:ascii="Arial" w:hAnsi="Arial" w:cs="Arial"/>
          <w:bCs/>
          <w:sz w:val="32"/>
          <w:szCs w:val="32"/>
          <w:u w:val="single"/>
          <w:lang w:val="ro-RO"/>
        </w:rPr>
      </w:pPr>
      <w:r w:rsidRPr="00E63A54">
        <w:rPr>
          <w:rFonts w:ascii="Arial Black" w:hAnsi="Arial Black" w:cs="Arial"/>
          <w:bCs/>
          <w:sz w:val="32"/>
          <w:szCs w:val="32"/>
          <w:u w:val="single"/>
          <w:lang w:val="ro-RO"/>
        </w:rPr>
        <w:t>DECIZI</w:t>
      </w:r>
      <w:r w:rsidR="00FE3C3A" w:rsidRPr="00E63A54">
        <w:rPr>
          <w:rFonts w:ascii="Arial Black" w:hAnsi="Arial Black" w:cs="Arial"/>
          <w:bCs/>
          <w:sz w:val="32"/>
          <w:szCs w:val="32"/>
          <w:u w:val="single"/>
          <w:lang w:val="ro-RO"/>
        </w:rPr>
        <w:t>A nr.</w:t>
      </w:r>
      <w:r w:rsidR="00FE3C3A" w:rsidRPr="00B86419">
        <w:rPr>
          <w:rFonts w:ascii="Georgia" w:hAnsi="Georgia" w:cs="Arial"/>
          <w:bCs/>
          <w:sz w:val="32"/>
          <w:szCs w:val="32"/>
          <w:u w:val="single"/>
          <w:lang w:val="ro-RO"/>
        </w:rPr>
        <w:t xml:space="preserve"> </w:t>
      </w:r>
      <w:r w:rsidR="00D20A9C">
        <w:rPr>
          <w:rFonts w:ascii="Georgia" w:hAnsi="Georgia" w:cs="Arial"/>
          <w:bCs/>
          <w:sz w:val="32"/>
          <w:szCs w:val="32"/>
          <w:u w:val="single"/>
          <w:lang w:val="ro-RO"/>
        </w:rPr>
        <w:t>212</w:t>
      </w:r>
    </w:p>
    <w:p w:rsidR="00FE3C3A" w:rsidRPr="00E63A54" w:rsidRDefault="00FE3C3A" w:rsidP="003F249D">
      <w:pPr>
        <w:pStyle w:val="Decizie"/>
        <w:rPr>
          <w:rFonts w:ascii="Georgia" w:hAnsi="Georgia" w:cs="Arial"/>
          <w:bCs/>
          <w:sz w:val="32"/>
          <w:szCs w:val="32"/>
          <w:u w:val="single"/>
          <w:lang w:val="ro-RO"/>
        </w:rPr>
      </w:pPr>
      <w:r w:rsidRPr="00E63A54">
        <w:rPr>
          <w:rFonts w:ascii="Georgia" w:hAnsi="Georgia" w:cs="Arial"/>
          <w:bCs/>
          <w:sz w:val="32"/>
          <w:szCs w:val="32"/>
          <w:u w:val="single"/>
          <w:lang w:val="ro-RO"/>
        </w:rPr>
        <w:t>30 martie 2017</w:t>
      </w:r>
    </w:p>
    <w:p w:rsidR="003F249D" w:rsidRDefault="003F249D" w:rsidP="003F249D">
      <w:pPr>
        <w:pStyle w:val="Decizie"/>
        <w:rPr>
          <w:rFonts w:ascii="Arial" w:hAnsi="Arial" w:cs="Arial"/>
          <w:bCs/>
          <w:w w:val="200"/>
          <w:sz w:val="32"/>
          <w:szCs w:val="32"/>
          <w:u w:val="single"/>
          <w:lang w:val="ro-RO"/>
        </w:rPr>
      </w:pPr>
    </w:p>
    <w:p w:rsidR="00E63A54" w:rsidRPr="009F47BB" w:rsidRDefault="00E63A54" w:rsidP="003F249D">
      <w:pPr>
        <w:pStyle w:val="Decizie"/>
        <w:rPr>
          <w:rFonts w:ascii="Arial" w:hAnsi="Arial" w:cs="Arial"/>
          <w:bCs/>
          <w:w w:val="200"/>
          <w:sz w:val="32"/>
          <w:szCs w:val="32"/>
          <w:u w:val="single"/>
          <w:lang w:val="ro-RO"/>
        </w:rPr>
      </w:pPr>
    </w:p>
    <w:p w:rsidR="003F249D" w:rsidRPr="009F47BB" w:rsidRDefault="003F249D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sz w:val="32"/>
          <w:szCs w:val="32"/>
          <w:lang w:val="ro-RO"/>
        </w:rPr>
        <w:t xml:space="preserve">Pentru punerea în aplicare  a prevederilor 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art. I.2 și art.I.3 din Legea nr. 25/2017 privind modificarea și completarea Legii nr.51/1995 pentru organizarea și exercitarea profesiei de avocat,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republicată, cu modificările și completările ulterioare (în continuare, Legea  nr. 51/1995),</w:t>
      </w:r>
    </w:p>
    <w:p w:rsidR="003F249D" w:rsidRPr="009F47BB" w:rsidRDefault="003F249D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spacing w:val="-1"/>
          <w:sz w:val="32"/>
          <w:szCs w:val="32"/>
          <w:lang w:val="ro-RO"/>
        </w:rPr>
        <w:t>pentru a se finaliza  de urgență suportul material</w:t>
      </w:r>
      <w:r w:rsidRPr="009F47BB">
        <w:rPr>
          <w:rFonts w:ascii="Arial" w:hAnsi="Arial" w:cs="Arial"/>
          <w:spacing w:val="19"/>
          <w:sz w:val="32"/>
          <w:szCs w:val="32"/>
          <w:lang w:val="ro-RO"/>
        </w:rPr>
        <w:t xml:space="preserve"> </w:t>
      </w:r>
      <w:r w:rsidR="009F47BB" w:rsidRPr="009F47BB">
        <w:rPr>
          <w:rFonts w:ascii="Arial" w:hAnsi="Arial" w:cs="Arial"/>
          <w:sz w:val="32"/>
          <w:szCs w:val="32"/>
          <w:lang w:val="ro-RO"/>
        </w:rPr>
        <w:t>și</w:t>
      </w:r>
      <w:r w:rsidRPr="009F47BB">
        <w:rPr>
          <w:rFonts w:ascii="Arial" w:hAnsi="Arial" w:cs="Arial"/>
          <w:spacing w:val="17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electronic</w:t>
      </w:r>
      <w:r w:rsidR="00B764E8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19"/>
          <w:sz w:val="32"/>
          <w:szCs w:val="32"/>
          <w:lang w:val="ro-RO"/>
        </w:rPr>
        <w:t>necesar</w:t>
      </w:r>
      <w:r w:rsidR="00B764E8">
        <w:rPr>
          <w:rFonts w:ascii="Arial" w:hAnsi="Arial" w:cs="Arial"/>
          <w:spacing w:val="19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19"/>
          <w:sz w:val="32"/>
          <w:szCs w:val="32"/>
          <w:lang w:val="ro-RO"/>
        </w:rPr>
        <w:t>pentru</w:t>
      </w:r>
      <w:r w:rsidR="00B764E8">
        <w:rPr>
          <w:rFonts w:ascii="Arial" w:hAnsi="Arial" w:cs="Arial"/>
          <w:spacing w:val="19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19"/>
          <w:sz w:val="32"/>
          <w:szCs w:val="32"/>
          <w:lang w:val="ro-RO"/>
        </w:rPr>
        <w:t>desfășurarea</w:t>
      </w:r>
      <w:r w:rsidR="00B764E8">
        <w:rPr>
          <w:rFonts w:ascii="Arial" w:hAnsi="Arial" w:cs="Arial"/>
          <w:spacing w:val="19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activităților</w:t>
      </w:r>
      <w:r w:rsidR="00B764E8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de</w:t>
      </w:r>
      <w:r w:rsidR="00B764E8">
        <w:rPr>
          <w:rFonts w:ascii="Arial" w:hAnsi="Arial" w:cs="Arial"/>
          <w:spacing w:val="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1"/>
          <w:sz w:val="32"/>
          <w:szCs w:val="32"/>
          <w:lang w:val="ro-RO"/>
        </w:rPr>
        <w:t>înregistrare,</w:t>
      </w:r>
      <w:r w:rsidR="00B764E8">
        <w:rPr>
          <w:rFonts w:ascii="Arial" w:hAnsi="Arial" w:cs="Arial"/>
          <w:spacing w:val="1"/>
          <w:sz w:val="32"/>
          <w:szCs w:val="32"/>
          <w:lang w:val="ro-RO"/>
        </w:rPr>
        <w:t xml:space="preserve"> </w:t>
      </w:r>
      <w:r w:rsidR="009F47BB" w:rsidRPr="009F47BB">
        <w:rPr>
          <w:rFonts w:ascii="Arial" w:hAnsi="Arial" w:cs="Arial"/>
          <w:spacing w:val="-1"/>
          <w:sz w:val="32"/>
          <w:szCs w:val="32"/>
          <w:lang w:val="ro-RO"/>
        </w:rPr>
        <w:t>evidență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și informare cu privire la actele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întocmite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de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avocați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, potrivit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Legii nr. 51/1995, astfel cum a fost completată,</w:t>
      </w:r>
    </w:p>
    <w:p w:rsidR="003F249D" w:rsidRPr="009F47BB" w:rsidRDefault="003F249D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în conformitate cu dispozițiile art. 68 alin.(3) din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L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egea nr.51/1995, pentru aducerea la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îndeplinire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a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Hotărârii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Consiliului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UNBR nr. 852/2013, </w:t>
      </w:r>
    </w:p>
    <w:p w:rsidR="003F249D" w:rsidRPr="009F47BB" w:rsidRDefault="003F249D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spacing w:val="-3"/>
          <w:sz w:val="32"/>
          <w:szCs w:val="32"/>
          <w:lang w:val="ro-RO"/>
        </w:rPr>
        <w:t>observând dispozițiile art. I.2 și art.I.3 din Legea nr. 25/2017,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publicată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î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n Monitorul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Oficial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al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României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,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Partea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I,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nr.210/28.III.2017,</w:t>
      </w:r>
    </w:p>
    <w:p w:rsidR="003F249D" w:rsidRDefault="00B360B4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spacing w:val="-3"/>
          <w:sz w:val="32"/>
          <w:szCs w:val="32"/>
          <w:lang w:val="ro-RO"/>
        </w:rPr>
        <w:t>Comisia Permanenta  a UNBR</w:t>
      </w:r>
    </w:p>
    <w:p w:rsidR="009F47BB" w:rsidRPr="009F47BB" w:rsidRDefault="009F47BB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</w:p>
    <w:p w:rsidR="003F249D" w:rsidRPr="009F47BB" w:rsidRDefault="003F249D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center"/>
        <w:rPr>
          <w:rFonts w:ascii="Arial" w:hAnsi="Arial" w:cs="Arial"/>
          <w:b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b/>
          <w:spacing w:val="-3"/>
          <w:sz w:val="32"/>
          <w:szCs w:val="32"/>
          <w:lang w:val="ro-RO"/>
        </w:rPr>
        <w:t>D E C I D E :</w:t>
      </w:r>
    </w:p>
    <w:p w:rsidR="009F47BB" w:rsidRPr="009F47BB" w:rsidRDefault="009F47BB" w:rsidP="00BB1555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rPr>
          <w:rFonts w:ascii="Arial" w:hAnsi="Arial" w:cs="Arial"/>
          <w:spacing w:val="-3"/>
          <w:sz w:val="32"/>
          <w:szCs w:val="32"/>
          <w:lang w:val="ro-RO"/>
        </w:rPr>
      </w:pPr>
    </w:p>
    <w:p w:rsidR="003F249D" w:rsidRPr="009F47BB" w:rsidRDefault="003F249D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2"/>
          <w:sz w:val="32"/>
          <w:szCs w:val="32"/>
          <w:lang w:val="ro-RO"/>
        </w:rPr>
      </w:pPr>
      <w:r w:rsidRPr="009F47BB">
        <w:rPr>
          <w:rFonts w:ascii="Arial" w:hAnsi="Arial" w:cs="Arial"/>
          <w:b/>
          <w:spacing w:val="-3"/>
          <w:sz w:val="32"/>
          <w:szCs w:val="32"/>
          <w:u w:val="single"/>
          <w:lang w:val="ro-RO"/>
        </w:rPr>
        <w:t>Art. 1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-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Se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înființează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Registrul electronic al actelor întocmite de avocați și Registrul electronic al evidenței patrimoniului de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afectațiune al avocaților, pentru </w:t>
      </w:r>
      <w:r w:rsidRPr="009F47BB">
        <w:rPr>
          <w:rFonts w:ascii="Arial" w:hAnsi="Arial" w:cs="Arial"/>
          <w:spacing w:val="-2"/>
          <w:sz w:val="32"/>
          <w:szCs w:val="32"/>
          <w:lang w:val="ro-RO"/>
        </w:rPr>
        <w:t>asigurarea</w:t>
      </w:r>
      <w:r w:rsidRPr="009F47BB">
        <w:rPr>
          <w:rFonts w:ascii="Arial" w:hAnsi="Arial" w:cs="Arial"/>
          <w:spacing w:val="17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unei</w:t>
      </w:r>
      <w:r w:rsidRPr="009F47BB">
        <w:rPr>
          <w:rFonts w:ascii="Arial" w:hAnsi="Arial" w:cs="Arial"/>
          <w:spacing w:val="15"/>
          <w:sz w:val="32"/>
          <w:szCs w:val="32"/>
          <w:lang w:val="ro-RO"/>
        </w:rPr>
        <w:t xml:space="preserve"> </w:t>
      </w:r>
      <w:r w:rsidR="009F47BB" w:rsidRPr="009F47BB">
        <w:rPr>
          <w:rFonts w:ascii="Arial" w:hAnsi="Arial" w:cs="Arial"/>
          <w:spacing w:val="-1"/>
          <w:sz w:val="32"/>
          <w:szCs w:val="32"/>
          <w:lang w:val="ro-RO"/>
        </w:rPr>
        <w:t>evidențe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organizate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z w:val="32"/>
          <w:szCs w:val="32"/>
          <w:lang w:val="ro-RO"/>
        </w:rPr>
        <w:t>la</w:t>
      </w:r>
      <w:r w:rsidRPr="009F47BB">
        <w:rPr>
          <w:rFonts w:ascii="Arial" w:hAnsi="Arial" w:cs="Arial"/>
          <w:spacing w:val="17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2"/>
          <w:sz w:val="32"/>
          <w:szCs w:val="32"/>
          <w:lang w:val="ro-RO"/>
        </w:rPr>
        <w:t>nivel</w:t>
      </w:r>
      <w:r w:rsidRPr="009F47BB">
        <w:rPr>
          <w:rFonts w:ascii="Arial" w:hAnsi="Arial" w:cs="Arial"/>
          <w:spacing w:val="18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na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ț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ional</w:t>
      </w:r>
      <w:r w:rsidRPr="009F47BB">
        <w:rPr>
          <w:rFonts w:ascii="Arial" w:hAnsi="Arial" w:cs="Arial"/>
          <w:spacing w:val="18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z w:val="32"/>
          <w:szCs w:val="32"/>
          <w:lang w:val="ro-RO"/>
        </w:rPr>
        <w:t>a</w:t>
      </w:r>
      <w:r w:rsidRPr="009F47BB">
        <w:rPr>
          <w:rFonts w:ascii="Arial" w:hAnsi="Arial" w:cs="Arial"/>
          <w:spacing w:val="20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actelor</w:t>
      </w:r>
      <w:r w:rsidRPr="009F47BB">
        <w:rPr>
          <w:rFonts w:ascii="Arial" w:hAnsi="Arial" w:cs="Arial"/>
          <w:spacing w:val="17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prevăzute</w:t>
      </w:r>
      <w:r w:rsidRPr="009F47BB">
        <w:rPr>
          <w:rFonts w:ascii="Arial" w:hAnsi="Arial" w:cs="Arial"/>
          <w:spacing w:val="-2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de art. 3 alin.(1) lit. c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)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ș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i d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)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din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Legea nr. 51/1995,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1"/>
          <w:sz w:val="32"/>
          <w:szCs w:val="32"/>
          <w:lang w:val="ro-RO"/>
        </w:rPr>
        <w:t>pentru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1"/>
          <w:sz w:val="32"/>
          <w:szCs w:val="32"/>
          <w:lang w:val="ro-RO"/>
        </w:rPr>
        <w:t>înregistrarea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1"/>
          <w:sz w:val="32"/>
          <w:szCs w:val="32"/>
          <w:lang w:val="ro-RO"/>
        </w:rPr>
        <w:t>lor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1"/>
          <w:sz w:val="32"/>
          <w:szCs w:val="32"/>
          <w:lang w:val="ro-RO"/>
        </w:rPr>
        <w:t>cu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1"/>
          <w:sz w:val="32"/>
          <w:szCs w:val="32"/>
          <w:lang w:val="ro-RO"/>
        </w:rPr>
        <w:t>efect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1"/>
          <w:sz w:val="32"/>
          <w:szCs w:val="32"/>
          <w:lang w:val="ro-RO"/>
        </w:rPr>
        <w:t>de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1"/>
          <w:sz w:val="32"/>
          <w:szCs w:val="32"/>
          <w:lang w:val="ro-RO"/>
        </w:rPr>
        <w:t>opozabilitate,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1"/>
          <w:sz w:val="32"/>
          <w:szCs w:val="32"/>
          <w:lang w:val="ro-RO"/>
        </w:rPr>
        <w:t>în condițiile prevăzute de lege, pentru a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se asigura furnizarea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9F47BB" w:rsidRPr="009F47BB">
        <w:rPr>
          <w:rFonts w:ascii="Arial" w:hAnsi="Arial" w:cs="Arial"/>
          <w:spacing w:val="-1"/>
          <w:sz w:val="32"/>
          <w:szCs w:val="32"/>
          <w:lang w:val="ro-RO"/>
        </w:rPr>
        <w:t>informațiilor</w:t>
      </w:r>
      <w:r w:rsidRPr="009F47BB">
        <w:rPr>
          <w:rFonts w:ascii="Arial" w:hAnsi="Arial" w:cs="Arial"/>
          <w:spacing w:val="17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din</w:t>
      </w:r>
      <w:r w:rsidRPr="009F47BB">
        <w:rPr>
          <w:rFonts w:ascii="Arial" w:hAnsi="Arial" w:cs="Arial"/>
          <w:spacing w:val="14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aceste</w:t>
      </w:r>
      <w:r w:rsidR="001B7C08"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registre</w:t>
      </w:r>
      <w:r w:rsidRPr="009F47BB">
        <w:rPr>
          <w:rFonts w:ascii="Arial" w:hAnsi="Arial" w:cs="Arial"/>
          <w:spacing w:val="17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z w:val="32"/>
          <w:szCs w:val="32"/>
          <w:lang w:val="ro-RO"/>
        </w:rPr>
        <w:t>în</w:t>
      </w:r>
      <w:r w:rsidRPr="009F47BB">
        <w:rPr>
          <w:rFonts w:ascii="Arial" w:hAnsi="Arial" w:cs="Arial"/>
          <w:spacing w:val="27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condițiile</w:t>
      </w:r>
      <w:r w:rsidRPr="009F47BB">
        <w:rPr>
          <w:rFonts w:ascii="Arial" w:hAnsi="Arial" w:cs="Arial"/>
          <w:spacing w:val="28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prevăzute</w:t>
      </w:r>
      <w:r w:rsidRPr="009F47BB">
        <w:rPr>
          <w:rFonts w:ascii="Arial" w:hAnsi="Arial" w:cs="Arial"/>
          <w:spacing w:val="25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de</w:t>
      </w:r>
      <w:r w:rsidRPr="009F47BB">
        <w:rPr>
          <w:rFonts w:ascii="Arial" w:hAnsi="Arial" w:cs="Arial"/>
          <w:spacing w:val="59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lege </w:t>
      </w:r>
      <w:r w:rsidRPr="009F47BB">
        <w:rPr>
          <w:rFonts w:ascii="Arial" w:hAnsi="Arial" w:cs="Arial"/>
          <w:sz w:val="32"/>
          <w:szCs w:val="32"/>
          <w:lang w:val="ro-RO"/>
        </w:rPr>
        <w:t>și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z w:val="32"/>
          <w:szCs w:val="32"/>
          <w:lang w:val="ro-RO"/>
        </w:rPr>
        <w:t>de</w:t>
      </w:r>
      <w:r w:rsidR="009F47BB">
        <w:rPr>
          <w:rFonts w:ascii="Arial" w:hAnsi="Arial" w:cs="Arial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2"/>
          <w:sz w:val="32"/>
          <w:szCs w:val="32"/>
          <w:lang w:val="ro-RO"/>
        </w:rPr>
        <w:t>Regulamentul de organizare și funcționare a Registrelor, care</w:t>
      </w:r>
      <w:r w:rsidR="009F47BB">
        <w:rPr>
          <w:rFonts w:ascii="Arial" w:hAnsi="Arial" w:cs="Arial"/>
          <w:spacing w:val="-2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2"/>
          <w:sz w:val="32"/>
          <w:szCs w:val="32"/>
          <w:lang w:val="ro-RO"/>
        </w:rPr>
        <w:t>va fi</w:t>
      </w:r>
      <w:r w:rsidR="009F47BB">
        <w:rPr>
          <w:rFonts w:ascii="Arial" w:hAnsi="Arial" w:cs="Arial"/>
          <w:spacing w:val="-2"/>
          <w:sz w:val="32"/>
          <w:szCs w:val="32"/>
          <w:lang w:val="ro-RO"/>
        </w:rPr>
        <w:t xml:space="preserve"> </w:t>
      </w:r>
      <w:r w:rsidR="001B7C08" w:rsidRPr="009F47BB">
        <w:rPr>
          <w:rFonts w:ascii="Arial" w:hAnsi="Arial" w:cs="Arial"/>
          <w:spacing w:val="-2"/>
          <w:sz w:val="32"/>
          <w:szCs w:val="32"/>
          <w:lang w:val="ro-RO"/>
        </w:rPr>
        <w:t xml:space="preserve">aprobat de Consiliul UNBR. </w:t>
      </w:r>
    </w:p>
    <w:p w:rsidR="00B360B4" w:rsidRPr="009F47BB" w:rsidRDefault="00B360B4" w:rsidP="001B7C08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b/>
          <w:spacing w:val="-2"/>
          <w:sz w:val="32"/>
          <w:szCs w:val="32"/>
          <w:u w:val="single"/>
          <w:lang w:val="ro-RO"/>
        </w:rPr>
      </w:pPr>
    </w:p>
    <w:p w:rsidR="001B7C08" w:rsidRPr="009F47BB" w:rsidRDefault="001B7C08" w:rsidP="001B7C08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b/>
          <w:spacing w:val="-2"/>
          <w:sz w:val="32"/>
          <w:szCs w:val="32"/>
          <w:u w:val="single"/>
          <w:lang w:val="ro-RO"/>
        </w:rPr>
        <w:t>Art. 2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-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 În Registrul electronic al actelor întocmite de avocați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lastRenderedPageBreak/>
        <w:t>se înregistrează :</w:t>
      </w:r>
    </w:p>
    <w:p w:rsidR="001B7C08" w:rsidRPr="009F47BB" w:rsidRDefault="001B7C08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1"/>
          <w:sz w:val="32"/>
          <w:szCs w:val="32"/>
          <w:lang w:val="ro-RO"/>
        </w:rPr>
      </w:pPr>
      <w:r w:rsidRPr="009F47BB">
        <w:rPr>
          <w:rFonts w:ascii="Arial" w:hAnsi="Arial" w:cs="Arial"/>
          <w:spacing w:val="-3"/>
          <w:sz w:val="32"/>
          <w:szCs w:val="32"/>
          <w:lang w:val="ro-RO"/>
        </w:rPr>
        <w:t>a)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actele ju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r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idice întocmite de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avocați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și care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cuprind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men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ț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iunea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atestării identității părților, a conținutului și a datei actelor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[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art. 3 alin.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(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1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)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lit. c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)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din Legea nr. 51/1995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]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; </w:t>
      </w:r>
    </w:p>
    <w:p w:rsidR="001B7C08" w:rsidRPr="009F47BB" w:rsidRDefault="001B7C08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1"/>
          <w:sz w:val="32"/>
          <w:szCs w:val="32"/>
          <w:lang w:val="ro-RO"/>
        </w:rPr>
      </w:pP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b) actele 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î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ntocmite de avoca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ț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i conform prevederilor art. </w:t>
      </w:r>
      <w:r w:rsidR="00967C75">
        <w:rPr>
          <w:rFonts w:ascii="Arial" w:hAnsi="Arial" w:cs="Arial"/>
          <w:spacing w:val="-1"/>
          <w:sz w:val="32"/>
          <w:szCs w:val="32"/>
          <w:lang w:val="ro-RO"/>
        </w:rPr>
        <w:t>3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alin.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(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1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)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lit. </w:t>
      </w:r>
      <w:r w:rsidR="005C787B">
        <w:rPr>
          <w:rFonts w:ascii="Arial" w:hAnsi="Arial" w:cs="Arial"/>
          <w:spacing w:val="-1"/>
          <w:sz w:val="32"/>
          <w:szCs w:val="32"/>
          <w:lang w:val="ro-RO"/>
        </w:rPr>
        <w:t>d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)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din Legea nr. 51/1995, 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î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n </w:t>
      </w:r>
      <w:r w:rsidR="009F47BB" w:rsidRPr="009F47BB">
        <w:rPr>
          <w:rFonts w:ascii="Arial" w:hAnsi="Arial" w:cs="Arial"/>
          <w:spacing w:val="-1"/>
          <w:sz w:val="32"/>
          <w:szCs w:val="32"/>
          <w:lang w:val="ro-RO"/>
        </w:rPr>
        <w:t>activitățile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de asisten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ț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ă și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reprezentare a persoanelor fizice și juridice interesate în fața altor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autorități publice decât cele </w:t>
      </w:r>
      <w:r w:rsidR="009F47BB" w:rsidRPr="009F47BB">
        <w:rPr>
          <w:rFonts w:ascii="Arial" w:hAnsi="Arial" w:cs="Arial"/>
          <w:spacing w:val="-1"/>
          <w:sz w:val="32"/>
          <w:szCs w:val="32"/>
          <w:lang w:val="ro-RO"/>
        </w:rPr>
        <w:t>prevăzute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la art. </w:t>
      </w:r>
      <w:r w:rsidR="00967C75">
        <w:rPr>
          <w:rFonts w:ascii="Arial" w:hAnsi="Arial" w:cs="Arial"/>
          <w:spacing w:val="-1"/>
          <w:sz w:val="32"/>
          <w:szCs w:val="32"/>
          <w:lang w:val="ro-RO"/>
        </w:rPr>
        <w:t>3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alin. 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(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1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)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lit.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b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)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din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>Legea nr. 51/1995.</w:t>
      </w:r>
    </w:p>
    <w:p w:rsidR="001B7C08" w:rsidRPr="009F47BB" w:rsidRDefault="001B7C08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1"/>
          <w:sz w:val="32"/>
          <w:szCs w:val="32"/>
          <w:lang w:val="ro-RO"/>
        </w:rPr>
      </w:pPr>
    </w:p>
    <w:p w:rsidR="003F249D" w:rsidRPr="009F47BB" w:rsidRDefault="001B7C08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b/>
          <w:spacing w:val="-1"/>
          <w:sz w:val="32"/>
          <w:szCs w:val="32"/>
          <w:u w:val="single"/>
          <w:lang w:val="ro-RO"/>
        </w:rPr>
        <w:t>Art. 3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</w:t>
      </w:r>
      <w:r w:rsidR="009F47BB">
        <w:rPr>
          <w:rFonts w:ascii="Arial" w:hAnsi="Arial" w:cs="Arial"/>
          <w:spacing w:val="-1"/>
          <w:sz w:val="32"/>
          <w:szCs w:val="32"/>
          <w:lang w:val="ro-RO"/>
        </w:rPr>
        <w:t>-</w:t>
      </w:r>
      <w:r w:rsidRPr="009F47BB">
        <w:rPr>
          <w:rFonts w:ascii="Arial" w:hAnsi="Arial" w:cs="Arial"/>
          <w:spacing w:val="-1"/>
          <w:sz w:val="32"/>
          <w:szCs w:val="32"/>
          <w:lang w:val="ro-RO"/>
        </w:rPr>
        <w:t xml:space="preserve"> În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Registrul electronic al evidenței patrimoniului de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afectațiune al avocaților se înscriu men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ț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iunile incluse în actele de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înființare a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formelor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de exercitare a profesiei, ori în cele întocmite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pentru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desfășurarea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activităților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profesionale în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modalitățile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de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exercitare a profesiei</w:t>
      </w:r>
      <w:r w:rsidR="00D8682C"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prevăzute de Lege 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ș</w:t>
      </w:r>
      <w:r w:rsidR="00D8682C" w:rsidRPr="009F47BB">
        <w:rPr>
          <w:rFonts w:ascii="Arial" w:hAnsi="Arial" w:cs="Arial"/>
          <w:spacing w:val="-3"/>
          <w:sz w:val="32"/>
          <w:szCs w:val="32"/>
          <w:lang w:val="ro-RO"/>
        </w:rPr>
        <w:t>i Statu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tu</w:t>
      </w:r>
      <w:r w:rsidR="00D8682C" w:rsidRPr="009F47BB">
        <w:rPr>
          <w:rFonts w:ascii="Arial" w:hAnsi="Arial" w:cs="Arial"/>
          <w:spacing w:val="-3"/>
          <w:sz w:val="32"/>
          <w:szCs w:val="32"/>
          <w:lang w:val="ro-RO"/>
        </w:rPr>
        <w:t>l profesiei de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D8682C" w:rsidRPr="009F47BB">
        <w:rPr>
          <w:rFonts w:ascii="Arial" w:hAnsi="Arial" w:cs="Arial"/>
          <w:spacing w:val="-3"/>
          <w:sz w:val="32"/>
          <w:szCs w:val="32"/>
          <w:lang w:val="ro-RO"/>
        </w:rPr>
        <w:t>avocat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(contractul de colaborare profesională, contractul de sal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ar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izare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în interiorul profesiei)</w:t>
      </w:r>
      <w:r w:rsidR="00D8682C"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privind patrimoniul propriu pe care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D8682C"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avocatul 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î</w:t>
      </w:r>
      <w:r w:rsidR="00D8682C"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l afectează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desfășurării</w:t>
      </w:r>
      <w:r w:rsidR="00D8682C"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activității</w:t>
      </w:r>
      <w:r w:rsidR="00D8682C"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sale profesionale. </w:t>
      </w:r>
    </w:p>
    <w:p w:rsidR="00D8682C" w:rsidRPr="009F47BB" w:rsidRDefault="00D8682C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</w:p>
    <w:p w:rsidR="00D8682C" w:rsidRPr="009F47BB" w:rsidRDefault="00D8682C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b/>
          <w:spacing w:val="-3"/>
          <w:sz w:val="32"/>
          <w:szCs w:val="32"/>
          <w:u w:val="single"/>
          <w:lang w:val="ro-RO"/>
        </w:rPr>
        <w:t>Art. 4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-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Contractele de asisten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ț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ă juridică întocmite pentru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exercitarea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activităților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reglementate de celelalte prevederi ale art. 3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din Legea nr. 51/1995 decât cele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menționate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la art. 2 din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prezenta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d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ecizie se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înscriu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î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n continuare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î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n registrul oficial de evidentă potrivit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art. 29 alin.(1) din Legea nr. 51/1995  și au regimul juridic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prevăzut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de art. 31 alin.(3)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ș</w:t>
      </w:r>
      <w:bookmarkStart w:id="0" w:name="_GoBack"/>
      <w:bookmarkEnd w:id="0"/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i art. 44 din 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L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egea nr. 51/1995. </w:t>
      </w:r>
    </w:p>
    <w:p w:rsidR="00D8682C" w:rsidRPr="009F47BB" w:rsidRDefault="00D8682C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</w:p>
    <w:p w:rsidR="00D8682C" w:rsidRPr="009F47BB" w:rsidRDefault="00D8682C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b/>
          <w:spacing w:val="-3"/>
          <w:sz w:val="32"/>
          <w:szCs w:val="32"/>
          <w:u w:val="single"/>
          <w:lang w:val="ro-RO"/>
        </w:rPr>
        <w:t>Art. 5</w:t>
      </w:r>
      <w:r w:rsidR="005F68E7"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-</w:t>
      </w:r>
      <w:r w:rsidR="005F68E7"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Până la aprobarea de către Consiliul UNBR a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Regulamentului de organizare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ș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i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funcționare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a Registrelor </w:t>
      </w:r>
      <w:r w:rsidR="009F47BB" w:rsidRPr="009F47BB">
        <w:rPr>
          <w:rFonts w:ascii="Arial" w:hAnsi="Arial" w:cs="Arial"/>
          <w:spacing w:val="-3"/>
          <w:sz w:val="32"/>
          <w:szCs w:val="32"/>
          <w:lang w:val="ro-RO"/>
        </w:rPr>
        <w:t>prevăzute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de ar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t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. 2 sunt aplicabile prevederile art. 92 alin.(2)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ș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i art. 180 alin.(5)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din Statutul profesiei de avocat. </w:t>
      </w:r>
    </w:p>
    <w:p w:rsidR="00B360B4" w:rsidRPr="009F47BB" w:rsidRDefault="00B360B4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</w:p>
    <w:p w:rsidR="00B360B4" w:rsidRPr="009F47BB" w:rsidRDefault="00B360B4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b/>
          <w:spacing w:val="-3"/>
          <w:sz w:val="32"/>
          <w:szCs w:val="32"/>
          <w:u w:val="single"/>
          <w:lang w:val="ro-RO"/>
        </w:rPr>
        <w:t>Art. 6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-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Prezenta decizie a fost adoptat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ă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prin vot electronic și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intra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î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n vigoare la 31 martie 2017. </w:t>
      </w:r>
    </w:p>
    <w:p w:rsidR="00B360B4" w:rsidRPr="00B764E8" w:rsidRDefault="00B360B4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 Decizia se va comunica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membrilor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Consiliului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UNBR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ș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i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 xml:space="preserve"> 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 xml:space="preserve">Barourilor </w:t>
      </w:r>
      <w:r w:rsidR="00B764E8">
        <w:rPr>
          <w:rFonts w:ascii="Arial" w:hAnsi="Arial" w:cs="Arial"/>
          <w:spacing w:val="-3"/>
          <w:sz w:val="32"/>
          <w:szCs w:val="32"/>
          <w:lang w:val="ro-RO"/>
        </w:rPr>
        <w:t>ș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i se va publica pe site</w:t>
      </w:r>
      <w:r w:rsidR="009F47BB">
        <w:rPr>
          <w:rFonts w:ascii="Arial" w:hAnsi="Arial" w:cs="Arial"/>
          <w:spacing w:val="-3"/>
          <w:sz w:val="32"/>
          <w:szCs w:val="32"/>
          <w:lang w:val="ro-RO"/>
        </w:rPr>
        <w:t>-</w:t>
      </w:r>
      <w:r w:rsidRPr="009F47BB">
        <w:rPr>
          <w:rFonts w:ascii="Arial" w:hAnsi="Arial" w:cs="Arial"/>
          <w:spacing w:val="-3"/>
          <w:sz w:val="32"/>
          <w:szCs w:val="32"/>
          <w:lang w:val="ro-RO"/>
        </w:rPr>
        <w:t>ul</w:t>
      </w:r>
      <w:r w:rsidRPr="009F47BB">
        <w:rPr>
          <w:rFonts w:ascii="Arial" w:hAnsi="Arial" w:cs="Arial"/>
          <w:i/>
          <w:spacing w:val="-3"/>
          <w:sz w:val="32"/>
          <w:szCs w:val="32"/>
          <w:lang w:val="ro-RO"/>
        </w:rPr>
        <w:t xml:space="preserve"> ww</w:t>
      </w:r>
      <w:r w:rsidR="002332EB">
        <w:rPr>
          <w:rFonts w:ascii="Arial" w:hAnsi="Arial" w:cs="Arial"/>
          <w:i/>
          <w:spacing w:val="-3"/>
          <w:sz w:val="32"/>
          <w:szCs w:val="32"/>
          <w:lang w:val="ro-RO"/>
        </w:rPr>
        <w:t>w</w:t>
      </w:r>
      <w:r w:rsidRPr="009F47BB">
        <w:rPr>
          <w:rFonts w:ascii="Arial" w:hAnsi="Arial" w:cs="Arial"/>
          <w:i/>
          <w:spacing w:val="-3"/>
          <w:sz w:val="32"/>
          <w:szCs w:val="32"/>
          <w:lang w:val="ro-RO"/>
        </w:rPr>
        <w:t>.unbr.ro</w:t>
      </w:r>
    </w:p>
    <w:p w:rsidR="00B360B4" w:rsidRPr="00B764E8" w:rsidRDefault="00B360B4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</w:p>
    <w:p w:rsidR="00B360B4" w:rsidRPr="00B764E8" w:rsidRDefault="00B360B4" w:rsidP="003F249D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both"/>
        <w:rPr>
          <w:rFonts w:ascii="Arial" w:hAnsi="Arial" w:cs="Arial"/>
          <w:spacing w:val="-3"/>
          <w:sz w:val="32"/>
          <w:szCs w:val="32"/>
          <w:lang w:val="ro-RO"/>
        </w:rPr>
      </w:pPr>
    </w:p>
    <w:p w:rsidR="00D8682C" w:rsidRPr="009F47BB" w:rsidRDefault="00B360B4" w:rsidP="00B764E8">
      <w:pPr>
        <w:pStyle w:val="BodyText"/>
        <w:tabs>
          <w:tab w:val="left" w:pos="2241"/>
          <w:tab w:val="left" w:pos="3800"/>
          <w:tab w:val="left" w:pos="4898"/>
          <w:tab w:val="left" w:pos="6822"/>
          <w:tab w:val="left" w:pos="8275"/>
          <w:tab w:val="left" w:pos="9305"/>
        </w:tabs>
        <w:ind w:left="108" w:right="116" w:firstLine="890"/>
        <w:jc w:val="center"/>
        <w:rPr>
          <w:rFonts w:ascii="Arial" w:hAnsi="Arial" w:cs="Arial"/>
          <w:spacing w:val="-3"/>
          <w:sz w:val="32"/>
          <w:szCs w:val="32"/>
          <w:u w:val="single"/>
          <w:lang w:val="ro-RO"/>
        </w:rPr>
      </w:pPr>
      <w:r w:rsidRPr="009F47BB">
        <w:rPr>
          <w:rFonts w:ascii="Arial" w:hAnsi="Arial" w:cs="Arial"/>
          <w:sz w:val="32"/>
          <w:szCs w:val="32"/>
          <w:lang w:val="ro-RO"/>
        </w:rPr>
        <w:t>COMISIA PERMANENT</w:t>
      </w:r>
      <w:r w:rsidR="00654130">
        <w:rPr>
          <w:rFonts w:ascii="Arial" w:hAnsi="Arial" w:cs="Arial"/>
          <w:sz w:val="32"/>
          <w:szCs w:val="32"/>
          <w:lang w:val="ro-RO"/>
        </w:rPr>
        <w:t>Ă</w:t>
      </w:r>
    </w:p>
    <w:sectPr w:rsidR="00D8682C" w:rsidRPr="009F47BB" w:rsidSect="009F47BB">
      <w:footerReference w:type="default" r:id="rId7"/>
      <w:pgSz w:w="11906" w:h="16838"/>
      <w:pgMar w:top="630" w:right="656" w:bottom="99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C05" w:rsidRDefault="007E3C05" w:rsidP="009F47BB">
      <w:r>
        <w:separator/>
      </w:r>
    </w:p>
  </w:endnote>
  <w:endnote w:type="continuationSeparator" w:id="0">
    <w:p w:rsidR="007E3C05" w:rsidRDefault="007E3C05" w:rsidP="009F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47BB" w:rsidRDefault="009F47B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C75">
      <w:rPr>
        <w:noProof/>
      </w:rPr>
      <w:t>1</w:t>
    </w:r>
    <w:r>
      <w:rPr>
        <w:noProof/>
      </w:rPr>
      <w:fldChar w:fldCharType="end"/>
    </w:r>
  </w:p>
  <w:p w:rsidR="009F47BB" w:rsidRDefault="009F4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C05" w:rsidRDefault="007E3C05" w:rsidP="009F47BB">
      <w:r>
        <w:separator/>
      </w:r>
    </w:p>
  </w:footnote>
  <w:footnote w:type="continuationSeparator" w:id="0">
    <w:p w:rsidR="007E3C05" w:rsidRDefault="007E3C05" w:rsidP="009F47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34A25"/>
    <w:multiLevelType w:val="hybridMultilevel"/>
    <w:tmpl w:val="48B81E30"/>
    <w:lvl w:ilvl="0" w:tplc="718EC91C">
      <w:start w:val="1"/>
      <w:numFmt w:val="bullet"/>
      <w:lvlText w:val="-"/>
      <w:lvlJc w:val="left"/>
      <w:pPr>
        <w:ind w:left="118" w:hanging="209"/>
      </w:pPr>
      <w:rPr>
        <w:rFonts w:ascii="Tahoma" w:eastAsia="Times New Roman" w:hAnsi="Tahoma" w:cs="Times New Roman" w:hint="default"/>
        <w:sz w:val="28"/>
      </w:rPr>
    </w:lvl>
    <w:lvl w:ilvl="1" w:tplc="CCCA1EA0">
      <w:start w:val="1"/>
      <w:numFmt w:val="bullet"/>
      <w:lvlText w:val="•"/>
      <w:lvlJc w:val="left"/>
      <w:pPr>
        <w:ind w:left="1069" w:hanging="209"/>
      </w:pPr>
    </w:lvl>
    <w:lvl w:ilvl="2" w:tplc="23F606D6">
      <w:start w:val="1"/>
      <w:numFmt w:val="bullet"/>
      <w:lvlText w:val="•"/>
      <w:lvlJc w:val="left"/>
      <w:pPr>
        <w:ind w:left="2019" w:hanging="209"/>
      </w:pPr>
    </w:lvl>
    <w:lvl w:ilvl="3" w:tplc="8F2AAFFE">
      <w:start w:val="1"/>
      <w:numFmt w:val="bullet"/>
      <w:lvlText w:val="•"/>
      <w:lvlJc w:val="left"/>
      <w:pPr>
        <w:ind w:left="2970" w:hanging="209"/>
      </w:pPr>
    </w:lvl>
    <w:lvl w:ilvl="4" w:tplc="4844CFB4">
      <w:start w:val="1"/>
      <w:numFmt w:val="bullet"/>
      <w:lvlText w:val="•"/>
      <w:lvlJc w:val="left"/>
      <w:pPr>
        <w:ind w:left="3920" w:hanging="209"/>
      </w:pPr>
    </w:lvl>
    <w:lvl w:ilvl="5" w:tplc="C268C18C">
      <w:start w:val="1"/>
      <w:numFmt w:val="bullet"/>
      <w:lvlText w:val="•"/>
      <w:lvlJc w:val="left"/>
      <w:pPr>
        <w:ind w:left="4871" w:hanging="209"/>
      </w:pPr>
    </w:lvl>
    <w:lvl w:ilvl="6" w:tplc="BA3C1DEA">
      <w:start w:val="1"/>
      <w:numFmt w:val="bullet"/>
      <w:lvlText w:val="•"/>
      <w:lvlJc w:val="left"/>
      <w:pPr>
        <w:ind w:left="5821" w:hanging="209"/>
      </w:pPr>
    </w:lvl>
    <w:lvl w:ilvl="7" w:tplc="F1C48574">
      <w:start w:val="1"/>
      <w:numFmt w:val="bullet"/>
      <w:lvlText w:val="•"/>
      <w:lvlJc w:val="left"/>
      <w:pPr>
        <w:ind w:left="6772" w:hanging="209"/>
      </w:pPr>
    </w:lvl>
    <w:lvl w:ilvl="8" w:tplc="2FCAC1D8">
      <w:start w:val="1"/>
      <w:numFmt w:val="bullet"/>
      <w:lvlText w:val="•"/>
      <w:lvlJc w:val="left"/>
      <w:pPr>
        <w:ind w:left="7722" w:hanging="209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49D"/>
    <w:rsid w:val="00034D4F"/>
    <w:rsid w:val="00037A23"/>
    <w:rsid w:val="00134698"/>
    <w:rsid w:val="0018436D"/>
    <w:rsid w:val="001B7C08"/>
    <w:rsid w:val="001D6D39"/>
    <w:rsid w:val="002332EB"/>
    <w:rsid w:val="00276864"/>
    <w:rsid w:val="002B4B20"/>
    <w:rsid w:val="00355A57"/>
    <w:rsid w:val="00380DE6"/>
    <w:rsid w:val="003F249D"/>
    <w:rsid w:val="00423D97"/>
    <w:rsid w:val="00426097"/>
    <w:rsid w:val="004757AC"/>
    <w:rsid w:val="00483744"/>
    <w:rsid w:val="004C6C56"/>
    <w:rsid w:val="004E5E8A"/>
    <w:rsid w:val="0057661A"/>
    <w:rsid w:val="005C787B"/>
    <w:rsid w:val="005F68E7"/>
    <w:rsid w:val="006019B9"/>
    <w:rsid w:val="00615112"/>
    <w:rsid w:val="00654130"/>
    <w:rsid w:val="006F6D8D"/>
    <w:rsid w:val="00706C6C"/>
    <w:rsid w:val="00770B35"/>
    <w:rsid w:val="007938F3"/>
    <w:rsid w:val="007E3C05"/>
    <w:rsid w:val="00855187"/>
    <w:rsid w:val="008922ED"/>
    <w:rsid w:val="008C19DE"/>
    <w:rsid w:val="008F7BB2"/>
    <w:rsid w:val="00914A2D"/>
    <w:rsid w:val="00967C75"/>
    <w:rsid w:val="009F47BB"/>
    <w:rsid w:val="00A15229"/>
    <w:rsid w:val="00A51BF3"/>
    <w:rsid w:val="00AE08F3"/>
    <w:rsid w:val="00B04073"/>
    <w:rsid w:val="00B360B4"/>
    <w:rsid w:val="00B74973"/>
    <w:rsid w:val="00B764E8"/>
    <w:rsid w:val="00B831D7"/>
    <w:rsid w:val="00B86419"/>
    <w:rsid w:val="00BB1555"/>
    <w:rsid w:val="00BF4D05"/>
    <w:rsid w:val="00CA16F2"/>
    <w:rsid w:val="00D20A9C"/>
    <w:rsid w:val="00D8682C"/>
    <w:rsid w:val="00E41F31"/>
    <w:rsid w:val="00E63A54"/>
    <w:rsid w:val="00EB4F30"/>
    <w:rsid w:val="00F749C6"/>
    <w:rsid w:val="00F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9F2B8-7289-46EE-AA40-F475188E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link w:val="Heading4Char"/>
    <w:qFormat/>
    <w:rsid w:val="003F249D"/>
    <w:pPr>
      <w:widowControl w:val="0"/>
      <w:outlineLvl w:val="3"/>
    </w:pPr>
    <w:rPr>
      <w:rFonts w:ascii="Tahoma" w:hAnsi="Tahom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F249D"/>
    <w:pPr>
      <w:jc w:val="center"/>
    </w:pPr>
    <w:rPr>
      <w:rFonts w:ascii="Avant" w:hAnsi="Avant"/>
      <w:b/>
      <w:sz w:val="32"/>
      <w:szCs w:val="20"/>
      <w:lang w:val="en-GB"/>
    </w:rPr>
  </w:style>
  <w:style w:type="paragraph" w:customStyle="1" w:styleId="Decizie">
    <w:name w:val="Decizie"/>
    <w:basedOn w:val="Normal"/>
    <w:rsid w:val="003F249D"/>
    <w:pPr>
      <w:jc w:val="center"/>
    </w:pPr>
    <w:rPr>
      <w:rFonts w:ascii="Avant" w:hAnsi="Avant"/>
      <w:b/>
      <w:sz w:val="28"/>
      <w:szCs w:val="20"/>
      <w:lang w:val="en-GB"/>
    </w:rPr>
  </w:style>
  <w:style w:type="character" w:customStyle="1" w:styleId="BodyTextChar">
    <w:name w:val="Body Text Char"/>
    <w:link w:val="BodyText"/>
    <w:semiHidden/>
    <w:locked/>
    <w:rsid w:val="003F249D"/>
    <w:rPr>
      <w:rFonts w:ascii="Tahoma" w:hAnsi="Tahoma" w:cs="Tahoma"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3F249D"/>
    <w:pPr>
      <w:widowControl w:val="0"/>
      <w:ind w:left="118" w:firstLine="720"/>
    </w:pPr>
    <w:rPr>
      <w:rFonts w:ascii="Tahoma" w:hAnsi="Tahoma" w:cs="Tahoma"/>
      <w:sz w:val="28"/>
      <w:szCs w:val="28"/>
      <w:lang w:val="en-US" w:eastAsia="en-US"/>
    </w:rPr>
  </w:style>
  <w:style w:type="character" w:customStyle="1" w:styleId="Heading4Char">
    <w:name w:val="Heading 4 Char"/>
    <w:link w:val="Heading4"/>
    <w:semiHidden/>
    <w:locked/>
    <w:rsid w:val="003F249D"/>
    <w:rPr>
      <w:rFonts w:ascii="Tahoma" w:hAnsi="Tahoma"/>
      <w:b/>
      <w:bCs/>
      <w:sz w:val="28"/>
      <w:szCs w:val="28"/>
      <w:lang w:val="en-US" w:eastAsia="en-US" w:bidi="ar-SA"/>
    </w:rPr>
  </w:style>
  <w:style w:type="paragraph" w:styleId="Header">
    <w:name w:val="header"/>
    <w:basedOn w:val="Normal"/>
    <w:link w:val="HeaderChar"/>
    <w:rsid w:val="009F47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F47B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47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F47BB"/>
    <w:rPr>
      <w:sz w:val="24"/>
      <w:szCs w:val="24"/>
    </w:rPr>
  </w:style>
  <w:style w:type="paragraph" w:styleId="BalloonText">
    <w:name w:val="Balloon Text"/>
    <w:basedOn w:val="Normal"/>
    <w:link w:val="BalloonTextChar"/>
    <w:rsid w:val="00892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92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2988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/>
  <LinksUpToDate>false</LinksUpToDate>
  <CharactersWithSpaces>3497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gflorea</dc:creator>
  <cp:keywords/>
  <dc:description/>
  <cp:lastModifiedBy>Sandu Gherasim</cp:lastModifiedBy>
  <cp:revision>3</cp:revision>
  <cp:lastPrinted>2017-03-31T14:55:00Z</cp:lastPrinted>
  <dcterms:created xsi:type="dcterms:W3CDTF">2017-03-31T14:57:00Z</dcterms:created>
  <dcterms:modified xsi:type="dcterms:W3CDTF">2017-04-06T12:55:00Z</dcterms:modified>
</cp:coreProperties>
</file>