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C83" w:rsidRPr="00324E58" w:rsidRDefault="00324E58" w:rsidP="00324E58">
      <w:pPr>
        <w:autoSpaceDE w:val="0"/>
        <w:autoSpaceDN w:val="0"/>
        <w:adjustRightInd w:val="0"/>
        <w:jc w:val="center"/>
        <w:rPr>
          <w:rFonts w:asciiTheme="minorHAnsi" w:hAnsiTheme="minorHAnsi" w:cstheme="minorHAnsi"/>
          <w:b/>
          <w:i/>
          <w:sz w:val="26"/>
          <w:szCs w:val="26"/>
          <w:lang w:val="ro-RO"/>
        </w:rPr>
      </w:pPr>
      <w:bookmarkStart w:id="0" w:name="_GoBack"/>
      <w:bookmarkEnd w:id="0"/>
      <w:r w:rsidRPr="00324E58">
        <w:rPr>
          <w:rFonts w:asciiTheme="minorHAnsi" w:hAnsiTheme="minorHAnsi" w:cstheme="minorHAnsi"/>
          <w:b/>
          <w:bCs/>
          <w:sz w:val="26"/>
          <w:szCs w:val="26"/>
          <w:lang w:val="ro-RO"/>
        </w:rPr>
        <w:t xml:space="preserve">Sinteza </w:t>
      </w:r>
      <w:r>
        <w:rPr>
          <w:rFonts w:asciiTheme="minorHAnsi" w:hAnsiTheme="minorHAnsi" w:cstheme="minorHAnsi"/>
          <w:b/>
          <w:bCs/>
          <w:sz w:val="26"/>
          <w:szCs w:val="26"/>
          <w:lang w:val="ro-RO"/>
        </w:rPr>
        <w:t>d</w:t>
      </w:r>
      <w:r w:rsidRPr="00324E58">
        <w:rPr>
          <w:rFonts w:asciiTheme="minorHAnsi" w:hAnsiTheme="minorHAnsi" w:cstheme="minorHAnsi"/>
          <w:b/>
          <w:bCs/>
          <w:sz w:val="26"/>
          <w:szCs w:val="26"/>
          <w:lang w:val="ro-RO"/>
        </w:rPr>
        <w:t xml:space="preserve">ocumentelor adoptate în cadrul Sesiunii Plenare a </w:t>
      </w:r>
      <w:r w:rsidRPr="00324E58">
        <w:rPr>
          <w:rFonts w:asciiTheme="minorHAnsi" w:hAnsiTheme="minorHAnsi" w:cstheme="minorHAnsi"/>
          <w:b/>
          <w:sz w:val="26"/>
          <w:szCs w:val="26"/>
          <w:lang w:val="ro-RO"/>
        </w:rPr>
        <w:t>CONSILIUL</w:t>
      </w:r>
      <w:r w:rsidR="00CC4109">
        <w:rPr>
          <w:rFonts w:asciiTheme="minorHAnsi" w:hAnsiTheme="minorHAnsi" w:cstheme="minorHAnsi"/>
          <w:b/>
          <w:sz w:val="26"/>
          <w:szCs w:val="26"/>
          <w:lang w:val="ro-RO"/>
        </w:rPr>
        <w:t>UI</w:t>
      </w:r>
      <w:r w:rsidRPr="00324E58">
        <w:rPr>
          <w:rFonts w:asciiTheme="minorHAnsi" w:hAnsiTheme="minorHAnsi" w:cstheme="minorHAnsi"/>
          <w:b/>
          <w:sz w:val="26"/>
          <w:szCs w:val="26"/>
          <w:lang w:val="ro-RO"/>
        </w:rPr>
        <w:t xml:space="preserve"> BAROURILOR ŞI A</w:t>
      </w:r>
      <w:r w:rsidR="00CC4109">
        <w:rPr>
          <w:rFonts w:asciiTheme="minorHAnsi" w:hAnsiTheme="minorHAnsi" w:cstheme="minorHAnsi"/>
          <w:b/>
          <w:sz w:val="26"/>
          <w:szCs w:val="26"/>
          <w:lang w:val="ro-RO"/>
        </w:rPr>
        <w:t>L</w:t>
      </w:r>
      <w:r w:rsidRPr="00324E58">
        <w:rPr>
          <w:rFonts w:asciiTheme="minorHAnsi" w:hAnsiTheme="minorHAnsi" w:cstheme="minorHAnsi"/>
          <w:b/>
          <w:sz w:val="26"/>
          <w:szCs w:val="26"/>
          <w:lang w:val="ro-RO"/>
        </w:rPr>
        <w:t xml:space="preserve"> SOCIETĂŢILOR JURIDICE DIN EUROPA  (</w:t>
      </w:r>
      <w:r w:rsidRPr="00324E58">
        <w:rPr>
          <w:rFonts w:asciiTheme="minorHAnsi" w:hAnsiTheme="minorHAnsi" w:cstheme="minorHAnsi"/>
          <w:b/>
          <w:bCs/>
          <w:sz w:val="26"/>
          <w:szCs w:val="26"/>
          <w:lang w:val="ro-RO"/>
        </w:rPr>
        <w:t>CCBE)</w:t>
      </w:r>
      <w:r>
        <w:rPr>
          <w:rFonts w:asciiTheme="minorHAnsi" w:hAnsiTheme="minorHAnsi" w:cstheme="minorHAnsi"/>
          <w:b/>
          <w:bCs/>
          <w:sz w:val="26"/>
          <w:szCs w:val="26"/>
          <w:lang w:val="ro-RO"/>
        </w:rPr>
        <w:t xml:space="preserve"> </w:t>
      </w:r>
      <w:r w:rsidRPr="00324E58">
        <w:rPr>
          <w:rFonts w:asciiTheme="minorHAnsi" w:hAnsiTheme="minorHAnsi" w:cstheme="minorHAnsi"/>
          <w:b/>
          <w:bCs/>
          <w:sz w:val="26"/>
          <w:szCs w:val="26"/>
          <w:lang w:val="ro-RO"/>
        </w:rPr>
        <w:t>- Edinburgh, 18-20 mai 2017</w:t>
      </w:r>
      <w:r w:rsidRPr="00324E58">
        <w:rPr>
          <w:rStyle w:val="FootnoteReference"/>
          <w:rFonts w:asciiTheme="minorHAnsi" w:hAnsiTheme="minorHAnsi" w:cstheme="minorHAnsi"/>
          <w:b/>
          <w:bCs/>
          <w:sz w:val="26"/>
          <w:szCs w:val="26"/>
          <w:lang w:val="ro-RO"/>
        </w:rPr>
        <w:footnoteReference w:id="1"/>
      </w:r>
    </w:p>
    <w:p w:rsidR="00651C83" w:rsidRPr="00324E58" w:rsidRDefault="00651C83" w:rsidP="00324E58">
      <w:pPr>
        <w:jc w:val="center"/>
        <w:rPr>
          <w:rFonts w:asciiTheme="minorHAnsi" w:hAnsiTheme="minorHAnsi" w:cstheme="minorHAnsi"/>
          <w:sz w:val="26"/>
          <w:szCs w:val="26"/>
          <w:lang w:val="ro-RO"/>
        </w:rPr>
      </w:pPr>
    </w:p>
    <w:p w:rsidR="00F421B1" w:rsidRPr="00324E58" w:rsidRDefault="00F421B1" w:rsidP="00324E58">
      <w:pPr>
        <w:jc w:val="center"/>
        <w:rPr>
          <w:rFonts w:asciiTheme="minorHAnsi" w:hAnsiTheme="minorHAnsi" w:cstheme="minorHAnsi"/>
          <w:b/>
          <w:sz w:val="26"/>
          <w:szCs w:val="26"/>
          <w:lang w:val="ro-RO"/>
        </w:rPr>
      </w:pPr>
    </w:p>
    <w:p w:rsidR="00900729" w:rsidRPr="00324E58" w:rsidRDefault="00FA5472" w:rsidP="00324E58">
      <w:pPr>
        <w:jc w:val="center"/>
        <w:rPr>
          <w:rFonts w:asciiTheme="minorHAnsi" w:hAnsiTheme="minorHAnsi" w:cstheme="minorHAnsi"/>
          <w:b/>
          <w:sz w:val="26"/>
          <w:szCs w:val="26"/>
          <w:lang w:val="ro-RO"/>
        </w:rPr>
      </w:pPr>
      <w:r w:rsidRPr="00324E58">
        <w:rPr>
          <w:rFonts w:asciiTheme="minorHAnsi" w:hAnsiTheme="minorHAnsi" w:cstheme="minorHAnsi"/>
          <w:b/>
          <w:sz w:val="26"/>
          <w:szCs w:val="26"/>
          <w:lang w:val="ro-RO"/>
        </w:rPr>
        <w:t xml:space="preserve">1. </w:t>
      </w:r>
      <w:r w:rsidR="00900729" w:rsidRPr="00324E58">
        <w:rPr>
          <w:rFonts w:asciiTheme="minorHAnsi" w:hAnsiTheme="minorHAnsi" w:cstheme="minorHAnsi"/>
          <w:b/>
          <w:sz w:val="26"/>
          <w:szCs w:val="26"/>
          <w:lang w:val="ro-RO"/>
        </w:rPr>
        <w:t>Ghidul CCBE privind principalele măsuri de conformitate pentru avoca</w:t>
      </w:r>
      <w:r w:rsidR="002602E5" w:rsidRPr="00324E58">
        <w:rPr>
          <w:rFonts w:asciiTheme="minorHAnsi" w:hAnsiTheme="minorHAnsi" w:cstheme="minorHAnsi"/>
          <w:b/>
          <w:sz w:val="26"/>
          <w:szCs w:val="26"/>
          <w:lang w:val="ro-RO"/>
        </w:rPr>
        <w:t>ț</w:t>
      </w:r>
      <w:r w:rsidR="00900729" w:rsidRPr="00324E58">
        <w:rPr>
          <w:rFonts w:asciiTheme="minorHAnsi" w:hAnsiTheme="minorHAnsi" w:cstheme="minorHAnsi"/>
          <w:b/>
          <w:sz w:val="26"/>
          <w:szCs w:val="26"/>
          <w:lang w:val="ro-RO"/>
        </w:rPr>
        <w:t>i în materie de protec</w:t>
      </w:r>
      <w:r w:rsidR="002602E5" w:rsidRPr="00324E58">
        <w:rPr>
          <w:rFonts w:asciiTheme="minorHAnsi" w:hAnsiTheme="minorHAnsi" w:cstheme="minorHAnsi"/>
          <w:b/>
          <w:sz w:val="26"/>
          <w:szCs w:val="26"/>
          <w:lang w:val="ro-RO"/>
        </w:rPr>
        <w:t>ț</w:t>
      </w:r>
      <w:r w:rsidR="00900729" w:rsidRPr="00324E58">
        <w:rPr>
          <w:rFonts w:asciiTheme="minorHAnsi" w:hAnsiTheme="minorHAnsi" w:cstheme="minorHAnsi"/>
          <w:b/>
          <w:sz w:val="26"/>
          <w:szCs w:val="26"/>
          <w:lang w:val="ro-RO"/>
        </w:rPr>
        <w:t>ie a datelor.</w:t>
      </w:r>
    </w:p>
    <w:p w:rsidR="00900729" w:rsidRPr="00324E58" w:rsidRDefault="00900729" w:rsidP="00324E58">
      <w:pPr>
        <w:jc w:val="both"/>
        <w:rPr>
          <w:rFonts w:asciiTheme="minorHAnsi" w:hAnsiTheme="minorHAnsi" w:cstheme="minorHAnsi"/>
          <w:sz w:val="26"/>
          <w:szCs w:val="26"/>
          <w:lang w:val="ro-RO"/>
        </w:rPr>
      </w:pPr>
    </w:p>
    <w:p w:rsidR="00900729" w:rsidRPr="00324E58" w:rsidRDefault="00900729" w:rsidP="00324E58">
      <w:pPr>
        <w:jc w:val="both"/>
        <w:rPr>
          <w:rFonts w:asciiTheme="minorHAnsi" w:hAnsiTheme="minorHAnsi" w:cstheme="minorHAnsi"/>
          <w:sz w:val="26"/>
          <w:szCs w:val="26"/>
          <w:lang w:val="ro-RO"/>
        </w:rPr>
      </w:pPr>
      <w:r w:rsidRPr="00324E58">
        <w:rPr>
          <w:rFonts w:asciiTheme="minorHAnsi" w:hAnsiTheme="minorHAnsi" w:cstheme="minorHAnsi"/>
          <w:sz w:val="26"/>
          <w:szCs w:val="26"/>
          <w:lang w:val="ro-RO"/>
        </w:rPr>
        <w:tab/>
        <w:t xml:space="preserve">Prin acest document, Consiliul Barourilor </w:t>
      </w:r>
      <w:r w:rsidR="002602E5" w:rsidRPr="00324E58">
        <w:rPr>
          <w:rFonts w:asciiTheme="minorHAnsi" w:hAnsiTheme="minorHAnsi" w:cstheme="minorHAnsi"/>
          <w:sz w:val="26"/>
          <w:szCs w:val="26"/>
          <w:lang w:val="ro-RO"/>
        </w:rPr>
        <w:t>ș</w:t>
      </w:r>
      <w:r w:rsidRPr="00324E58">
        <w:rPr>
          <w:rFonts w:asciiTheme="minorHAnsi" w:hAnsiTheme="minorHAnsi" w:cstheme="minorHAnsi"/>
          <w:sz w:val="26"/>
          <w:szCs w:val="26"/>
          <w:lang w:val="ro-RO"/>
        </w:rPr>
        <w:t>i a Societă</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ilor juridice din Europa, dore</w:t>
      </w:r>
      <w:r w:rsidR="002602E5" w:rsidRPr="00324E58">
        <w:rPr>
          <w:rFonts w:asciiTheme="minorHAnsi" w:hAnsiTheme="minorHAnsi" w:cstheme="minorHAnsi"/>
          <w:sz w:val="26"/>
          <w:szCs w:val="26"/>
          <w:lang w:val="ro-RO"/>
        </w:rPr>
        <w:t>ș</w:t>
      </w:r>
      <w:r w:rsidRPr="00324E58">
        <w:rPr>
          <w:rFonts w:asciiTheme="minorHAnsi" w:hAnsiTheme="minorHAnsi" w:cstheme="minorHAnsi"/>
          <w:sz w:val="26"/>
          <w:szCs w:val="26"/>
          <w:lang w:val="ro-RO"/>
        </w:rPr>
        <w:t>te să ofere o perspectivă de ansamblu a noilor măsuri principale pe care dore</w:t>
      </w:r>
      <w:r w:rsidR="002602E5" w:rsidRPr="00324E58">
        <w:rPr>
          <w:rFonts w:asciiTheme="minorHAnsi" w:hAnsiTheme="minorHAnsi" w:cstheme="minorHAnsi"/>
          <w:sz w:val="26"/>
          <w:szCs w:val="26"/>
          <w:lang w:val="ro-RO"/>
        </w:rPr>
        <w:t>ș</w:t>
      </w:r>
      <w:r w:rsidRPr="00324E58">
        <w:rPr>
          <w:rFonts w:asciiTheme="minorHAnsi" w:hAnsiTheme="minorHAnsi" w:cstheme="minorHAnsi"/>
          <w:sz w:val="26"/>
          <w:szCs w:val="26"/>
          <w:lang w:val="ro-RO"/>
        </w:rPr>
        <w:t xml:space="preserve">te să le recomande Barourilor </w:t>
      </w:r>
      <w:r w:rsidR="002602E5" w:rsidRPr="00324E58">
        <w:rPr>
          <w:rFonts w:asciiTheme="minorHAnsi" w:hAnsiTheme="minorHAnsi" w:cstheme="minorHAnsi"/>
          <w:sz w:val="26"/>
          <w:szCs w:val="26"/>
          <w:lang w:val="ro-RO"/>
        </w:rPr>
        <w:t>ș</w:t>
      </w:r>
      <w:r w:rsidRPr="00324E58">
        <w:rPr>
          <w:rFonts w:asciiTheme="minorHAnsi" w:hAnsiTheme="minorHAnsi" w:cstheme="minorHAnsi"/>
          <w:sz w:val="26"/>
          <w:szCs w:val="26"/>
          <w:lang w:val="ro-RO"/>
        </w:rPr>
        <w:t>i Societă</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ilor juridice pentru a asigura conformarea cu cerin</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 xml:space="preserve">ele stabilite în GDPR. </w:t>
      </w:r>
    </w:p>
    <w:p w:rsidR="00900729" w:rsidRPr="00324E58" w:rsidRDefault="00900729" w:rsidP="00324E58">
      <w:pPr>
        <w:jc w:val="both"/>
        <w:rPr>
          <w:rFonts w:asciiTheme="minorHAnsi" w:hAnsiTheme="minorHAnsi" w:cstheme="minorHAnsi"/>
          <w:sz w:val="26"/>
          <w:szCs w:val="26"/>
          <w:lang w:val="ro-RO"/>
        </w:rPr>
      </w:pPr>
      <w:r w:rsidRPr="00324E58">
        <w:rPr>
          <w:rFonts w:asciiTheme="minorHAnsi" w:hAnsiTheme="minorHAnsi" w:cstheme="minorHAnsi"/>
          <w:sz w:val="26"/>
          <w:szCs w:val="26"/>
          <w:lang w:val="ro-RO"/>
        </w:rPr>
        <w:tab/>
        <w:t xml:space="preserve"> În paragrafele care urmează, acele aspect ale GDPR care cauzează sau cresc responsabilitatea conformărilor deja existente, în mod special pentru avoca</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 xml:space="preserve">i sau firme de avocatură (în continuare numite forme de exercitare ale profesiei) sunt subliniate. Scopul urmărit este acela de a permite formelor de exercitare ale profesiei identificarea </w:t>
      </w:r>
      <w:r w:rsidR="002602E5" w:rsidRPr="00324E58">
        <w:rPr>
          <w:rFonts w:asciiTheme="minorHAnsi" w:hAnsiTheme="minorHAnsi" w:cstheme="minorHAnsi"/>
          <w:sz w:val="26"/>
          <w:szCs w:val="26"/>
          <w:lang w:val="ro-RO"/>
        </w:rPr>
        <w:t>problemelor</w:t>
      </w:r>
      <w:r w:rsidRPr="00324E58">
        <w:rPr>
          <w:rFonts w:asciiTheme="minorHAnsi" w:hAnsiTheme="minorHAnsi" w:cstheme="minorHAnsi"/>
          <w:sz w:val="26"/>
          <w:szCs w:val="26"/>
          <w:lang w:val="ro-RO"/>
        </w:rPr>
        <w:t xml:space="preserve"> care constituie principala sursă de îngrijorare pentru ele. Având în vedere că vasta majoritate a formelor de exercitare europene ale profesiei se situează sub pragul de 250 de angaja</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i, chestiunile conturate mai jos nu se referă la furnizarea de măsuri care să fie aplicabile numai cabinetelor mari de avocatură (de exemplu, necesitatea de desemna o persoană responsabilă cu protec</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ia datelor). De asemenea, este atrasă aten</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 xml:space="preserve">ia asupra faptului că multe firme de avocatură procesează date personale ce sunt clasificate drept ’’categorie specială de date personale’’. </w:t>
      </w:r>
    </w:p>
    <w:p w:rsidR="00900729" w:rsidRPr="00324E58" w:rsidRDefault="00900729" w:rsidP="00324E58">
      <w:pPr>
        <w:jc w:val="both"/>
        <w:rPr>
          <w:rFonts w:asciiTheme="minorHAnsi" w:hAnsiTheme="minorHAnsi" w:cstheme="minorHAnsi"/>
          <w:sz w:val="26"/>
          <w:szCs w:val="26"/>
          <w:lang w:val="ro-RO"/>
        </w:rPr>
      </w:pPr>
    </w:p>
    <w:p w:rsidR="00900729" w:rsidRPr="00324E58" w:rsidRDefault="00900729" w:rsidP="00324E58">
      <w:pPr>
        <w:jc w:val="both"/>
        <w:rPr>
          <w:rFonts w:asciiTheme="minorHAnsi" w:hAnsiTheme="minorHAnsi" w:cstheme="minorHAnsi"/>
          <w:sz w:val="26"/>
          <w:szCs w:val="26"/>
          <w:lang w:val="ro-RO"/>
        </w:rPr>
      </w:pPr>
      <w:r w:rsidRPr="00324E58">
        <w:rPr>
          <w:rFonts w:asciiTheme="minorHAnsi" w:hAnsiTheme="minorHAnsi" w:cstheme="minorHAnsi"/>
          <w:sz w:val="26"/>
          <w:szCs w:val="26"/>
          <w:lang w:val="ro-RO"/>
        </w:rPr>
        <w:t>A. Notificarea spargerii securită</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 xml:space="preserve">ii </w:t>
      </w:r>
    </w:p>
    <w:p w:rsidR="00900729" w:rsidRPr="00324E58" w:rsidRDefault="00900729" w:rsidP="00324E58">
      <w:pPr>
        <w:jc w:val="both"/>
        <w:rPr>
          <w:rFonts w:asciiTheme="minorHAnsi" w:hAnsiTheme="minorHAnsi" w:cstheme="minorHAnsi"/>
          <w:sz w:val="26"/>
          <w:szCs w:val="26"/>
          <w:lang w:val="ro-RO"/>
        </w:rPr>
      </w:pPr>
      <w:r w:rsidRPr="00324E58">
        <w:rPr>
          <w:rFonts w:asciiTheme="minorHAnsi" w:hAnsiTheme="minorHAnsi" w:cstheme="minorHAnsi"/>
          <w:sz w:val="26"/>
          <w:szCs w:val="26"/>
          <w:lang w:val="ro-RO"/>
        </w:rPr>
        <w:tab/>
      </w:r>
    </w:p>
    <w:p w:rsidR="00900729" w:rsidRPr="00324E58" w:rsidRDefault="00900729" w:rsidP="00324E58">
      <w:pPr>
        <w:jc w:val="both"/>
        <w:rPr>
          <w:rFonts w:asciiTheme="minorHAnsi" w:hAnsiTheme="minorHAnsi" w:cstheme="minorHAnsi"/>
          <w:sz w:val="26"/>
          <w:szCs w:val="26"/>
          <w:lang w:val="ro-RO"/>
        </w:rPr>
      </w:pPr>
      <w:r w:rsidRPr="00324E58">
        <w:rPr>
          <w:rFonts w:asciiTheme="minorHAnsi" w:hAnsiTheme="minorHAnsi" w:cstheme="minorHAnsi"/>
          <w:sz w:val="26"/>
          <w:szCs w:val="26"/>
          <w:lang w:val="ro-RO"/>
        </w:rPr>
        <w:tab/>
        <w:t>O formă de exercitare a profesiei ce ac</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ionează ca un controlor de date trebuie să în</w:t>
      </w:r>
      <w:r w:rsidR="002602E5" w:rsidRPr="00324E58">
        <w:rPr>
          <w:rFonts w:asciiTheme="minorHAnsi" w:hAnsiTheme="minorHAnsi" w:cstheme="minorHAnsi"/>
          <w:sz w:val="26"/>
          <w:szCs w:val="26"/>
          <w:lang w:val="ro-RO"/>
        </w:rPr>
        <w:t>ș</w:t>
      </w:r>
      <w:r w:rsidRPr="00324E58">
        <w:rPr>
          <w:rFonts w:asciiTheme="minorHAnsi" w:hAnsiTheme="minorHAnsi" w:cstheme="minorHAnsi"/>
          <w:sz w:val="26"/>
          <w:szCs w:val="26"/>
          <w:lang w:val="ro-RO"/>
        </w:rPr>
        <w:t>tiin</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 xml:space="preserve">eze supervizorului spargerea de date personale, fără întârziere, la nu mai mult de 72 de ore de când a luat </w:t>
      </w:r>
      <w:r w:rsidR="002602E5" w:rsidRPr="00324E58">
        <w:rPr>
          <w:rFonts w:asciiTheme="minorHAnsi" w:hAnsiTheme="minorHAnsi" w:cstheme="minorHAnsi"/>
          <w:sz w:val="26"/>
          <w:szCs w:val="26"/>
          <w:lang w:val="ro-RO"/>
        </w:rPr>
        <w:t>cunoștință</w:t>
      </w:r>
      <w:r w:rsidRPr="00324E58">
        <w:rPr>
          <w:rFonts w:asciiTheme="minorHAnsi" w:hAnsiTheme="minorHAnsi" w:cstheme="minorHAnsi"/>
          <w:sz w:val="26"/>
          <w:szCs w:val="26"/>
          <w:lang w:val="ro-RO"/>
        </w:rPr>
        <w:t xml:space="preserve"> despre aceasta. Notificarea trebuie să con</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ină, printre altele, specifica</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ii privind tipul spargerii. Mai mult, responsabilul cu protec</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 xml:space="preserve">ia datelor trebuie să documenteze în mod detaliat spargerea, pentru că autoritatea supervizoare să verifice conformarea cu notificarea de spargere. </w:t>
      </w:r>
    </w:p>
    <w:p w:rsidR="00900729" w:rsidRPr="00324E58" w:rsidRDefault="00900729" w:rsidP="00324E58">
      <w:pPr>
        <w:jc w:val="both"/>
        <w:rPr>
          <w:rFonts w:asciiTheme="minorHAnsi" w:hAnsiTheme="minorHAnsi" w:cstheme="minorHAnsi"/>
          <w:sz w:val="26"/>
          <w:szCs w:val="26"/>
          <w:lang w:val="ro-RO"/>
        </w:rPr>
      </w:pPr>
      <w:r w:rsidRPr="00324E58">
        <w:rPr>
          <w:rFonts w:asciiTheme="minorHAnsi" w:hAnsiTheme="minorHAnsi" w:cstheme="minorHAnsi"/>
          <w:sz w:val="26"/>
          <w:szCs w:val="26"/>
          <w:lang w:val="ro-RO"/>
        </w:rPr>
        <w:tab/>
        <w:t xml:space="preserve"> De</w:t>
      </w:r>
      <w:r w:rsidR="002602E5" w:rsidRPr="00324E58">
        <w:rPr>
          <w:rFonts w:asciiTheme="minorHAnsi" w:hAnsiTheme="minorHAnsi" w:cstheme="minorHAnsi"/>
          <w:sz w:val="26"/>
          <w:szCs w:val="26"/>
          <w:lang w:val="ro-RO"/>
        </w:rPr>
        <w:t>ș</w:t>
      </w:r>
      <w:r w:rsidRPr="00324E58">
        <w:rPr>
          <w:rFonts w:asciiTheme="minorHAnsi" w:hAnsiTheme="minorHAnsi" w:cstheme="minorHAnsi"/>
          <w:sz w:val="26"/>
          <w:szCs w:val="26"/>
          <w:lang w:val="ro-RO"/>
        </w:rPr>
        <w:t>i câteva state membre deja au implementat cerin</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ele raportării a spargerii datelor în legile lor na</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ionale, Directiva 95/46/EC nu obligă persoanele responsabile cu protec</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ia datelor să raporteze spargeri de date autorită</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ii supervizoare.</w:t>
      </w:r>
    </w:p>
    <w:p w:rsidR="00900729" w:rsidRPr="00324E58" w:rsidRDefault="00900729" w:rsidP="00324E58">
      <w:pPr>
        <w:jc w:val="both"/>
        <w:rPr>
          <w:rFonts w:asciiTheme="minorHAnsi" w:hAnsiTheme="minorHAnsi" w:cstheme="minorHAnsi"/>
          <w:sz w:val="26"/>
          <w:szCs w:val="26"/>
          <w:lang w:val="ro-RO"/>
        </w:rPr>
      </w:pPr>
    </w:p>
    <w:p w:rsidR="00900729" w:rsidRPr="00324E58" w:rsidRDefault="00900729" w:rsidP="00324E58">
      <w:pPr>
        <w:jc w:val="both"/>
        <w:rPr>
          <w:rFonts w:asciiTheme="minorHAnsi" w:hAnsiTheme="minorHAnsi" w:cstheme="minorHAnsi"/>
          <w:sz w:val="26"/>
          <w:szCs w:val="26"/>
          <w:lang w:val="ro-RO"/>
        </w:rPr>
      </w:pPr>
      <w:r w:rsidRPr="00324E58">
        <w:rPr>
          <w:rFonts w:asciiTheme="minorHAnsi" w:hAnsiTheme="minorHAnsi" w:cstheme="minorHAnsi"/>
          <w:sz w:val="26"/>
          <w:szCs w:val="26"/>
          <w:lang w:val="ro-RO"/>
        </w:rPr>
        <w:t>B.</w:t>
      </w:r>
      <w:r w:rsidR="002602E5" w:rsidRPr="00324E58">
        <w:rPr>
          <w:rFonts w:asciiTheme="minorHAnsi" w:hAnsiTheme="minorHAnsi" w:cstheme="minorHAnsi"/>
          <w:sz w:val="26"/>
          <w:szCs w:val="26"/>
          <w:lang w:val="ro-RO"/>
        </w:rPr>
        <w:t xml:space="preserve"> </w:t>
      </w:r>
      <w:r w:rsidRPr="00324E58">
        <w:rPr>
          <w:rFonts w:asciiTheme="minorHAnsi" w:hAnsiTheme="minorHAnsi" w:cstheme="minorHAnsi"/>
          <w:sz w:val="26"/>
          <w:szCs w:val="26"/>
          <w:lang w:val="ro-RO"/>
        </w:rPr>
        <w:t>Dreptul de a fi uitat</w:t>
      </w:r>
      <w:r w:rsidR="002602E5" w:rsidRPr="00324E58">
        <w:rPr>
          <w:rFonts w:asciiTheme="minorHAnsi" w:hAnsiTheme="minorHAnsi" w:cstheme="minorHAnsi"/>
          <w:sz w:val="26"/>
          <w:szCs w:val="26"/>
          <w:lang w:val="ro-RO"/>
        </w:rPr>
        <w:t xml:space="preserve"> </w:t>
      </w:r>
    </w:p>
    <w:p w:rsidR="00900729" w:rsidRPr="00324E58" w:rsidRDefault="00900729" w:rsidP="00324E58">
      <w:pPr>
        <w:jc w:val="both"/>
        <w:rPr>
          <w:rFonts w:asciiTheme="minorHAnsi" w:hAnsiTheme="minorHAnsi" w:cstheme="minorHAnsi"/>
          <w:sz w:val="26"/>
          <w:szCs w:val="26"/>
          <w:lang w:val="ro-RO"/>
        </w:rPr>
      </w:pPr>
      <w:r w:rsidRPr="00324E58">
        <w:rPr>
          <w:rFonts w:asciiTheme="minorHAnsi" w:hAnsiTheme="minorHAnsi" w:cstheme="minorHAnsi"/>
          <w:sz w:val="26"/>
          <w:szCs w:val="26"/>
          <w:lang w:val="ro-RO"/>
        </w:rPr>
        <w:tab/>
      </w:r>
    </w:p>
    <w:p w:rsidR="00900729" w:rsidRPr="00324E58" w:rsidRDefault="00900729" w:rsidP="00324E58">
      <w:pPr>
        <w:jc w:val="both"/>
        <w:rPr>
          <w:rFonts w:asciiTheme="minorHAnsi" w:hAnsiTheme="minorHAnsi" w:cstheme="minorHAnsi"/>
          <w:sz w:val="26"/>
          <w:szCs w:val="26"/>
          <w:lang w:val="ro-RO"/>
        </w:rPr>
      </w:pPr>
      <w:r w:rsidRPr="00324E58">
        <w:rPr>
          <w:rFonts w:asciiTheme="minorHAnsi" w:hAnsiTheme="minorHAnsi" w:cstheme="minorHAnsi"/>
          <w:sz w:val="26"/>
          <w:szCs w:val="26"/>
          <w:lang w:val="ro-RO"/>
        </w:rPr>
        <w:tab/>
        <w:t xml:space="preserve">Articolul 17 include dreptul de a fi </w:t>
      </w:r>
      <w:r w:rsidR="002602E5" w:rsidRPr="00324E58">
        <w:rPr>
          <w:rFonts w:asciiTheme="minorHAnsi" w:hAnsiTheme="minorHAnsi" w:cstheme="minorHAnsi"/>
          <w:sz w:val="26"/>
          <w:szCs w:val="26"/>
          <w:lang w:val="ro-RO"/>
        </w:rPr>
        <w:t>ș</w:t>
      </w:r>
      <w:r w:rsidRPr="00324E58">
        <w:rPr>
          <w:rFonts w:asciiTheme="minorHAnsi" w:hAnsiTheme="minorHAnsi" w:cstheme="minorHAnsi"/>
          <w:sz w:val="26"/>
          <w:szCs w:val="26"/>
          <w:lang w:val="ro-RO"/>
        </w:rPr>
        <w:t>ters (dreptul de a fi uitat), care înseamnă că persoanele vizate au dreptul să ob</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ină de la responsabilul cu protec</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 xml:space="preserve">ia datelor, </w:t>
      </w:r>
      <w:r w:rsidR="002602E5" w:rsidRPr="00324E58">
        <w:rPr>
          <w:rFonts w:asciiTheme="minorHAnsi" w:hAnsiTheme="minorHAnsi" w:cstheme="minorHAnsi"/>
          <w:sz w:val="26"/>
          <w:szCs w:val="26"/>
          <w:lang w:val="ro-RO"/>
        </w:rPr>
        <w:t>ș</w:t>
      </w:r>
      <w:r w:rsidRPr="00324E58">
        <w:rPr>
          <w:rFonts w:asciiTheme="minorHAnsi" w:hAnsiTheme="minorHAnsi" w:cstheme="minorHAnsi"/>
          <w:sz w:val="26"/>
          <w:szCs w:val="26"/>
          <w:lang w:val="ro-RO"/>
        </w:rPr>
        <w:t xml:space="preserve">tergerea datelor lor personale fără întârziere. </w:t>
      </w:r>
      <w:r w:rsidRPr="00324E58">
        <w:rPr>
          <w:rFonts w:asciiTheme="minorHAnsi" w:hAnsiTheme="minorHAnsi" w:cstheme="minorHAnsi"/>
          <w:sz w:val="26"/>
          <w:szCs w:val="26"/>
          <w:lang w:val="ro-RO"/>
        </w:rPr>
        <w:tab/>
      </w:r>
    </w:p>
    <w:p w:rsidR="00900729" w:rsidRPr="00324E58" w:rsidRDefault="00900729" w:rsidP="00324E58">
      <w:pPr>
        <w:jc w:val="both"/>
        <w:rPr>
          <w:rFonts w:asciiTheme="minorHAnsi" w:hAnsiTheme="minorHAnsi" w:cstheme="minorHAnsi"/>
          <w:sz w:val="26"/>
          <w:szCs w:val="26"/>
          <w:lang w:val="ro-RO"/>
        </w:rPr>
      </w:pPr>
    </w:p>
    <w:p w:rsidR="00F421B1" w:rsidRPr="00324E58" w:rsidRDefault="00900729" w:rsidP="00324E58">
      <w:pPr>
        <w:jc w:val="both"/>
        <w:rPr>
          <w:rFonts w:asciiTheme="minorHAnsi" w:hAnsiTheme="minorHAnsi" w:cstheme="minorHAnsi"/>
          <w:sz w:val="26"/>
          <w:szCs w:val="26"/>
          <w:lang w:val="ro-RO"/>
        </w:rPr>
      </w:pPr>
      <w:r w:rsidRPr="00324E58">
        <w:rPr>
          <w:rFonts w:asciiTheme="minorHAnsi" w:hAnsiTheme="minorHAnsi" w:cstheme="minorHAnsi"/>
          <w:sz w:val="26"/>
          <w:szCs w:val="26"/>
          <w:lang w:val="ro-RO"/>
        </w:rPr>
        <w:t xml:space="preserve"> </w:t>
      </w:r>
    </w:p>
    <w:p w:rsidR="00900729" w:rsidRPr="00324E58" w:rsidRDefault="00900729" w:rsidP="00324E58">
      <w:pPr>
        <w:jc w:val="both"/>
        <w:rPr>
          <w:rFonts w:asciiTheme="minorHAnsi" w:hAnsiTheme="minorHAnsi" w:cstheme="minorHAnsi"/>
          <w:sz w:val="26"/>
          <w:szCs w:val="26"/>
          <w:lang w:val="ro-RO"/>
        </w:rPr>
      </w:pPr>
      <w:r w:rsidRPr="00324E58">
        <w:rPr>
          <w:rFonts w:asciiTheme="minorHAnsi" w:hAnsiTheme="minorHAnsi" w:cstheme="minorHAnsi"/>
          <w:sz w:val="26"/>
          <w:szCs w:val="26"/>
          <w:lang w:val="ro-RO"/>
        </w:rPr>
        <w:t>C.</w:t>
      </w:r>
      <w:r w:rsidR="002602E5" w:rsidRPr="00324E58">
        <w:rPr>
          <w:rFonts w:asciiTheme="minorHAnsi" w:hAnsiTheme="minorHAnsi" w:cstheme="minorHAnsi"/>
          <w:sz w:val="26"/>
          <w:szCs w:val="26"/>
          <w:lang w:val="ro-RO"/>
        </w:rPr>
        <w:t xml:space="preserve"> </w:t>
      </w:r>
      <w:r w:rsidRPr="00324E58">
        <w:rPr>
          <w:rFonts w:asciiTheme="minorHAnsi" w:hAnsiTheme="minorHAnsi" w:cstheme="minorHAnsi"/>
          <w:sz w:val="26"/>
          <w:szCs w:val="26"/>
          <w:lang w:val="ro-RO"/>
        </w:rPr>
        <w:t>Persoana responsabilă cu protec</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 xml:space="preserve">ia datelor </w:t>
      </w:r>
    </w:p>
    <w:p w:rsidR="00900729" w:rsidRPr="00324E58" w:rsidRDefault="00900729" w:rsidP="00324E58">
      <w:pPr>
        <w:jc w:val="both"/>
        <w:rPr>
          <w:rFonts w:asciiTheme="minorHAnsi" w:hAnsiTheme="minorHAnsi" w:cstheme="minorHAnsi"/>
          <w:sz w:val="26"/>
          <w:szCs w:val="26"/>
          <w:lang w:val="ro-RO"/>
        </w:rPr>
      </w:pPr>
      <w:r w:rsidRPr="00324E58">
        <w:rPr>
          <w:rFonts w:asciiTheme="minorHAnsi" w:hAnsiTheme="minorHAnsi" w:cstheme="minorHAnsi"/>
          <w:sz w:val="26"/>
          <w:szCs w:val="26"/>
          <w:lang w:val="ro-RO"/>
        </w:rPr>
        <w:tab/>
        <w:t xml:space="preserve"> </w:t>
      </w:r>
    </w:p>
    <w:p w:rsidR="00900729" w:rsidRPr="00324E58" w:rsidRDefault="00900729" w:rsidP="00324E58">
      <w:pPr>
        <w:jc w:val="both"/>
        <w:rPr>
          <w:rFonts w:asciiTheme="minorHAnsi" w:hAnsiTheme="minorHAnsi" w:cstheme="minorHAnsi"/>
          <w:sz w:val="26"/>
          <w:szCs w:val="26"/>
          <w:lang w:val="ro-RO"/>
        </w:rPr>
      </w:pPr>
      <w:r w:rsidRPr="00324E58">
        <w:rPr>
          <w:rFonts w:asciiTheme="minorHAnsi" w:hAnsiTheme="minorHAnsi" w:cstheme="minorHAnsi"/>
          <w:sz w:val="26"/>
          <w:szCs w:val="26"/>
          <w:lang w:val="ro-RO"/>
        </w:rPr>
        <w:tab/>
        <w:t>Obligativitatea cabinetelor de avocatură de a numi o persoană responsabilă cu protec</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 xml:space="preserve">ia datelor. </w:t>
      </w:r>
    </w:p>
    <w:p w:rsidR="00900729" w:rsidRPr="00324E58" w:rsidRDefault="00900729" w:rsidP="00324E58">
      <w:pPr>
        <w:jc w:val="both"/>
        <w:rPr>
          <w:rFonts w:asciiTheme="minorHAnsi" w:hAnsiTheme="minorHAnsi" w:cstheme="minorHAnsi"/>
          <w:sz w:val="26"/>
          <w:szCs w:val="26"/>
          <w:lang w:val="ro-RO"/>
        </w:rPr>
      </w:pPr>
      <w:r w:rsidRPr="00324E58">
        <w:rPr>
          <w:rFonts w:asciiTheme="minorHAnsi" w:hAnsiTheme="minorHAnsi" w:cstheme="minorHAnsi"/>
          <w:sz w:val="26"/>
          <w:szCs w:val="26"/>
          <w:lang w:val="ro-RO"/>
        </w:rPr>
        <w:tab/>
        <w:t xml:space="preserve"> O altă nouă caracteristică este necesitatea de a numi o PRPD dacă activită</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ile de procesare a unei organiza</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 xml:space="preserve">ii implică o monitorizare regulată </w:t>
      </w:r>
      <w:r w:rsidR="002602E5" w:rsidRPr="00324E58">
        <w:rPr>
          <w:rFonts w:asciiTheme="minorHAnsi" w:hAnsiTheme="minorHAnsi" w:cstheme="minorHAnsi"/>
          <w:sz w:val="26"/>
          <w:szCs w:val="26"/>
          <w:lang w:val="ro-RO"/>
        </w:rPr>
        <w:t>ș</w:t>
      </w:r>
      <w:r w:rsidRPr="00324E58">
        <w:rPr>
          <w:rFonts w:asciiTheme="minorHAnsi" w:hAnsiTheme="minorHAnsi" w:cstheme="minorHAnsi"/>
          <w:sz w:val="26"/>
          <w:szCs w:val="26"/>
          <w:lang w:val="ro-RO"/>
        </w:rPr>
        <w:t>i sistematică a persoanelor vizate sau procesarea unor categorii speciale de date pe scară largă. În</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elesul</w:t>
      </w:r>
      <w:r w:rsidR="002602E5" w:rsidRPr="00324E58">
        <w:rPr>
          <w:rFonts w:asciiTheme="minorHAnsi" w:hAnsiTheme="minorHAnsi" w:cstheme="minorHAnsi"/>
          <w:sz w:val="26"/>
          <w:szCs w:val="26"/>
          <w:lang w:val="ro-RO"/>
        </w:rPr>
        <w:t xml:space="preserve"> </w:t>
      </w:r>
      <w:r w:rsidRPr="00324E58">
        <w:rPr>
          <w:rFonts w:asciiTheme="minorHAnsi" w:hAnsiTheme="minorHAnsi" w:cstheme="minorHAnsi"/>
          <w:sz w:val="26"/>
          <w:szCs w:val="26"/>
          <w:lang w:val="ro-RO"/>
        </w:rPr>
        <w:t>’’pe scară larga’’ este un subiect important deoarece o firmă de avocatură mai mică poate avea cazuri ce implică cantită</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i mari de date.</w:t>
      </w:r>
      <w:r w:rsidR="002602E5" w:rsidRPr="00324E58">
        <w:rPr>
          <w:rFonts w:asciiTheme="minorHAnsi" w:hAnsiTheme="minorHAnsi" w:cstheme="minorHAnsi"/>
          <w:sz w:val="26"/>
          <w:szCs w:val="26"/>
          <w:lang w:val="ro-RO"/>
        </w:rPr>
        <w:t xml:space="preserve"> </w:t>
      </w:r>
    </w:p>
    <w:p w:rsidR="00900729" w:rsidRPr="00324E58" w:rsidRDefault="00900729" w:rsidP="00324E58">
      <w:pPr>
        <w:jc w:val="both"/>
        <w:rPr>
          <w:rFonts w:asciiTheme="minorHAnsi" w:hAnsiTheme="minorHAnsi" w:cstheme="minorHAnsi"/>
          <w:sz w:val="26"/>
          <w:szCs w:val="26"/>
          <w:lang w:val="ro-RO"/>
        </w:rPr>
      </w:pPr>
    </w:p>
    <w:p w:rsidR="00F421B1" w:rsidRPr="00324E58" w:rsidRDefault="00F421B1" w:rsidP="00324E58">
      <w:pPr>
        <w:jc w:val="both"/>
        <w:rPr>
          <w:rFonts w:asciiTheme="minorHAnsi" w:hAnsiTheme="minorHAnsi" w:cstheme="minorHAnsi"/>
          <w:sz w:val="26"/>
          <w:szCs w:val="26"/>
          <w:lang w:val="ro-RO"/>
        </w:rPr>
      </w:pPr>
    </w:p>
    <w:p w:rsidR="00900729" w:rsidRPr="00324E58" w:rsidRDefault="00900729" w:rsidP="00324E58">
      <w:pPr>
        <w:jc w:val="both"/>
        <w:rPr>
          <w:rFonts w:asciiTheme="minorHAnsi" w:hAnsiTheme="minorHAnsi" w:cstheme="minorHAnsi"/>
          <w:sz w:val="26"/>
          <w:szCs w:val="26"/>
          <w:lang w:val="ro-RO"/>
        </w:rPr>
      </w:pPr>
      <w:r w:rsidRPr="00324E58">
        <w:rPr>
          <w:rFonts w:asciiTheme="minorHAnsi" w:hAnsiTheme="minorHAnsi" w:cstheme="minorHAnsi"/>
          <w:sz w:val="26"/>
          <w:szCs w:val="26"/>
          <w:lang w:val="ro-RO"/>
        </w:rPr>
        <w:t>D. Obliga</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 xml:space="preserve">iile </w:t>
      </w:r>
      <w:r w:rsidR="002602E5" w:rsidRPr="00324E58">
        <w:rPr>
          <w:rFonts w:asciiTheme="minorHAnsi" w:hAnsiTheme="minorHAnsi" w:cstheme="minorHAnsi"/>
          <w:sz w:val="26"/>
          <w:szCs w:val="26"/>
          <w:lang w:val="ro-RO"/>
        </w:rPr>
        <w:t>ș</w:t>
      </w:r>
      <w:r w:rsidRPr="00324E58">
        <w:rPr>
          <w:rFonts w:asciiTheme="minorHAnsi" w:hAnsiTheme="minorHAnsi" w:cstheme="minorHAnsi"/>
          <w:sz w:val="26"/>
          <w:szCs w:val="26"/>
          <w:lang w:val="ro-RO"/>
        </w:rPr>
        <w:t>i sarcinile persoanei responsabile cu protec</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 xml:space="preserve">ia datelor </w:t>
      </w:r>
    </w:p>
    <w:p w:rsidR="00900729" w:rsidRPr="00324E58" w:rsidRDefault="00900729" w:rsidP="00324E58">
      <w:pPr>
        <w:jc w:val="both"/>
        <w:rPr>
          <w:rFonts w:asciiTheme="minorHAnsi" w:hAnsiTheme="minorHAnsi" w:cstheme="minorHAnsi"/>
          <w:sz w:val="26"/>
          <w:szCs w:val="26"/>
          <w:lang w:val="ro-RO"/>
        </w:rPr>
      </w:pPr>
      <w:r w:rsidRPr="00324E58">
        <w:rPr>
          <w:rFonts w:asciiTheme="minorHAnsi" w:hAnsiTheme="minorHAnsi" w:cstheme="minorHAnsi"/>
          <w:sz w:val="26"/>
          <w:szCs w:val="26"/>
          <w:lang w:val="ro-RO"/>
        </w:rPr>
        <w:tab/>
        <w:t xml:space="preserve"> </w:t>
      </w:r>
    </w:p>
    <w:p w:rsidR="00900729" w:rsidRPr="00324E58" w:rsidRDefault="00900729" w:rsidP="00324E58">
      <w:pPr>
        <w:jc w:val="both"/>
        <w:rPr>
          <w:rFonts w:asciiTheme="minorHAnsi" w:hAnsiTheme="minorHAnsi" w:cstheme="minorHAnsi"/>
          <w:sz w:val="26"/>
          <w:szCs w:val="26"/>
          <w:lang w:val="ro-RO"/>
        </w:rPr>
      </w:pPr>
      <w:r w:rsidRPr="00324E58">
        <w:rPr>
          <w:rFonts w:asciiTheme="minorHAnsi" w:hAnsiTheme="minorHAnsi" w:cstheme="minorHAnsi"/>
          <w:sz w:val="26"/>
          <w:szCs w:val="26"/>
          <w:lang w:val="ro-RO"/>
        </w:rPr>
        <w:tab/>
        <w:t>GDPR impune obliga</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ii importante PRPD, cum ar fi necesitatea să monitorizeze/ reglementeze uniformizarea prevederii cele din alte state membre. Persoana desemnată cu responsabilitatea protec</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iei datelor ar trebui să fie un expert în ceea ce prive</w:t>
      </w:r>
      <w:r w:rsidR="002602E5" w:rsidRPr="00324E58">
        <w:rPr>
          <w:rFonts w:asciiTheme="minorHAnsi" w:hAnsiTheme="minorHAnsi" w:cstheme="minorHAnsi"/>
          <w:sz w:val="26"/>
          <w:szCs w:val="26"/>
          <w:lang w:val="ro-RO"/>
        </w:rPr>
        <w:t>ș</w:t>
      </w:r>
      <w:r w:rsidRPr="00324E58">
        <w:rPr>
          <w:rFonts w:asciiTheme="minorHAnsi" w:hAnsiTheme="minorHAnsi" w:cstheme="minorHAnsi"/>
          <w:sz w:val="26"/>
          <w:szCs w:val="26"/>
          <w:lang w:val="ro-RO"/>
        </w:rPr>
        <w:t>te legea protec</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 xml:space="preserve">iei datelor </w:t>
      </w:r>
      <w:r w:rsidR="002602E5" w:rsidRPr="00324E58">
        <w:rPr>
          <w:rFonts w:asciiTheme="minorHAnsi" w:hAnsiTheme="minorHAnsi" w:cstheme="minorHAnsi"/>
          <w:sz w:val="26"/>
          <w:szCs w:val="26"/>
          <w:lang w:val="ro-RO"/>
        </w:rPr>
        <w:t>ș</w:t>
      </w:r>
      <w:r w:rsidRPr="00324E58">
        <w:rPr>
          <w:rFonts w:asciiTheme="minorHAnsi" w:hAnsiTheme="minorHAnsi" w:cstheme="minorHAnsi"/>
          <w:sz w:val="26"/>
          <w:szCs w:val="26"/>
          <w:lang w:val="ro-RO"/>
        </w:rPr>
        <w:t>i să fie capabilă să îndeplinească toate cerin</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ele, bazate pe articolul 39 al GDPR. Persoana desemnată cu protec</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ia datelor î</w:t>
      </w:r>
      <w:r w:rsidR="002602E5" w:rsidRPr="00324E58">
        <w:rPr>
          <w:rFonts w:asciiTheme="minorHAnsi" w:hAnsiTheme="minorHAnsi" w:cstheme="minorHAnsi"/>
          <w:sz w:val="26"/>
          <w:szCs w:val="26"/>
          <w:lang w:val="ro-RO"/>
        </w:rPr>
        <w:t>ș</w:t>
      </w:r>
      <w:r w:rsidRPr="00324E58">
        <w:rPr>
          <w:rFonts w:asciiTheme="minorHAnsi" w:hAnsiTheme="minorHAnsi" w:cstheme="minorHAnsi"/>
          <w:sz w:val="26"/>
          <w:szCs w:val="26"/>
          <w:lang w:val="ro-RO"/>
        </w:rPr>
        <w:t>i asumă responsabilită</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 xml:space="preserve">i mari </w:t>
      </w:r>
      <w:r w:rsidR="002602E5" w:rsidRPr="00324E58">
        <w:rPr>
          <w:rFonts w:asciiTheme="minorHAnsi" w:hAnsiTheme="minorHAnsi" w:cstheme="minorHAnsi"/>
          <w:sz w:val="26"/>
          <w:szCs w:val="26"/>
          <w:lang w:val="ro-RO"/>
        </w:rPr>
        <w:t>ș</w:t>
      </w:r>
      <w:r w:rsidRPr="00324E58">
        <w:rPr>
          <w:rFonts w:asciiTheme="minorHAnsi" w:hAnsiTheme="minorHAnsi" w:cstheme="minorHAnsi"/>
          <w:sz w:val="26"/>
          <w:szCs w:val="26"/>
          <w:lang w:val="ro-RO"/>
        </w:rPr>
        <w:t xml:space="preserve">i importante. </w:t>
      </w:r>
    </w:p>
    <w:p w:rsidR="00900729" w:rsidRPr="00324E58" w:rsidRDefault="00900729" w:rsidP="00324E58">
      <w:pPr>
        <w:jc w:val="both"/>
        <w:rPr>
          <w:rFonts w:asciiTheme="minorHAnsi" w:hAnsiTheme="minorHAnsi" w:cstheme="minorHAnsi"/>
          <w:sz w:val="26"/>
          <w:szCs w:val="26"/>
          <w:lang w:val="ro-RO"/>
        </w:rPr>
      </w:pPr>
    </w:p>
    <w:p w:rsidR="004B7286" w:rsidRPr="00324E58" w:rsidRDefault="004B7286" w:rsidP="00324E58">
      <w:pPr>
        <w:jc w:val="both"/>
        <w:rPr>
          <w:rFonts w:asciiTheme="minorHAnsi" w:hAnsiTheme="minorHAnsi" w:cstheme="minorHAnsi"/>
          <w:sz w:val="26"/>
          <w:szCs w:val="26"/>
          <w:lang w:val="ro-RO"/>
        </w:rPr>
      </w:pPr>
    </w:p>
    <w:p w:rsidR="00900729" w:rsidRPr="00324E58" w:rsidRDefault="00900729" w:rsidP="00324E58">
      <w:pPr>
        <w:jc w:val="both"/>
        <w:rPr>
          <w:rFonts w:asciiTheme="minorHAnsi" w:hAnsiTheme="minorHAnsi" w:cstheme="minorHAnsi"/>
          <w:sz w:val="26"/>
          <w:szCs w:val="26"/>
          <w:lang w:val="ro-RO"/>
        </w:rPr>
      </w:pPr>
      <w:r w:rsidRPr="00324E58">
        <w:rPr>
          <w:rFonts w:asciiTheme="minorHAnsi" w:hAnsiTheme="minorHAnsi" w:cstheme="minorHAnsi"/>
          <w:sz w:val="26"/>
          <w:szCs w:val="26"/>
          <w:lang w:val="ro-RO"/>
        </w:rPr>
        <w:t>E.</w:t>
      </w:r>
      <w:r w:rsidR="002602E5" w:rsidRPr="00324E58">
        <w:rPr>
          <w:rFonts w:asciiTheme="minorHAnsi" w:hAnsiTheme="minorHAnsi" w:cstheme="minorHAnsi"/>
          <w:sz w:val="26"/>
          <w:szCs w:val="26"/>
          <w:lang w:val="ro-RO"/>
        </w:rPr>
        <w:t xml:space="preserve"> </w:t>
      </w:r>
      <w:r w:rsidRPr="00324E58">
        <w:rPr>
          <w:rFonts w:asciiTheme="minorHAnsi" w:hAnsiTheme="minorHAnsi" w:cstheme="minorHAnsi"/>
          <w:sz w:val="26"/>
          <w:szCs w:val="26"/>
          <w:lang w:val="ro-RO"/>
        </w:rPr>
        <w:t>Avoca</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i care ac</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ionează ca persoane responsabile cu protec</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 xml:space="preserve">ia datelor </w:t>
      </w:r>
    </w:p>
    <w:p w:rsidR="00900729" w:rsidRPr="00324E58" w:rsidRDefault="00900729" w:rsidP="00324E58">
      <w:pPr>
        <w:jc w:val="both"/>
        <w:rPr>
          <w:rFonts w:asciiTheme="minorHAnsi" w:hAnsiTheme="minorHAnsi" w:cstheme="minorHAnsi"/>
          <w:sz w:val="26"/>
          <w:szCs w:val="26"/>
          <w:lang w:val="ro-RO"/>
        </w:rPr>
      </w:pPr>
    </w:p>
    <w:p w:rsidR="00900729" w:rsidRPr="00324E58" w:rsidRDefault="00900729" w:rsidP="00324E58">
      <w:pPr>
        <w:jc w:val="both"/>
        <w:rPr>
          <w:rFonts w:asciiTheme="minorHAnsi" w:hAnsiTheme="minorHAnsi" w:cstheme="minorHAnsi"/>
          <w:sz w:val="26"/>
          <w:szCs w:val="26"/>
          <w:lang w:val="ro-RO"/>
        </w:rPr>
      </w:pPr>
      <w:r w:rsidRPr="00324E58">
        <w:rPr>
          <w:rFonts w:asciiTheme="minorHAnsi" w:hAnsiTheme="minorHAnsi" w:cstheme="minorHAnsi"/>
          <w:sz w:val="26"/>
          <w:szCs w:val="26"/>
          <w:lang w:val="ro-RO"/>
        </w:rPr>
        <w:tab/>
        <w:t xml:space="preserve"> Poate fi cre</w:t>
      </w:r>
      <w:r w:rsidR="00F421B1" w:rsidRPr="00324E58">
        <w:rPr>
          <w:rFonts w:asciiTheme="minorHAnsi" w:hAnsiTheme="minorHAnsi" w:cstheme="minorHAnsi"/>
          <w:sz w:val="26"/>
          <w:szCs w:val="26"/>
          <w:lang w:val="ro-RO"/>
        </w:rPr>
        <w:t>dibil ca</w:t>
      </w:r>
      <w:r w:rsidRPr="00324E58">
        <w:rPr>
          <w:rFonts w:asciiTheme="minorHAnsi" w:hAnsiTheme="minorHAnsi" w:cstheme="minorHAnsi"/>
          <w:sz w:val="26"/>
          <w:szCs w:val="26"/>
          <w:lang w:val="ro-RO"/>
        </w:rPr>
        <w:t xml:space="preserve"> un avocat </w:t>
      </w:r>
      <w:r w:rsidR="00F421B1" w:rsidRPr="00324E58">
        <w:rPr>
          <w:rFonts w:asciiTheme="minorHAnsi" w:hAnsiTheme="minorHAnsi" w:cstheme="minorHAnsi"/>
          <w:sz w:val="26"/>
          <w:szCs w:val="26"/>
          <w:lang w:val="ro-RO"/>
        </w:rPr>
        <w:t xml:space="preserve">să fie </w:t>
      </w:r>
      <w:r w:rsidRPr="00324E58">
        <w:rPr>
          <w:rFonts w:asciiTheme="minorHAnsi" w:hAnsiTheme="minorHAnsi" w:cstheme="minorHAnsi"/>
          <w:sz w:val="26"/>
          <w:szCs w:val="26"/>
          <w:lang w:val="ro-RO"/>
        </w:rPr>
        <w:t>cea mai indicată persoană pentru a fi numit PRPD (persoana responsabila cu protec</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 xml:space="preserve">ia datelor) dar ar trebui </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inut cont de complexitatea îndatoririlor acestui post, ceea ce impune că persoana care ac</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 xml:space="preserve">ionează ca PRPD are nevoie de mai multă pregătire în afară </w:t>
      </w:r>
      <w:r w:rsidR="00F421B1" w:rsidRPr="00324E58">
        <w:rPr>
          <w:rFonts w:asciiTheme="minorHAnsi" w:hAnsiTheme="minorHAnsi" w:cstheme="minorHAnsi"/>
          <w:sz w:val="26"/>
          <w:szCs w:val="26"/>
          <w:lang w:val="ro-RO"/>
        </w:rPr>
        <w:t>celei</w:t>
      </w:r>
      <w:r w:rsidRPr="00324E58">
        <w:rPr>
          <w:rFonts w:asciiTheme="minorHAnsi" w:hAnsiTheme="minorHAnsi" w:cstheme="minorHAnsi"/>
          <w:sz w:val="26"/>
          <w:szCs w:val="26"/>
          <w:lang w:val="ro-RO"/>
        </w:rPr>
        <w:t xml:space="preserve"> juridic</w:t>
      </w:r>
      <w:r w:rsidR="00F421B1" w:rsidRPr="00324E58">
        <w:rPr>
          <w:rFonts w:asciiTheme="minorHAnsi" w:hAnsiTheme="minorHAnsi" w:cstheme="minorHAnsi"/>
          <w:sz w:val="26"/>
          <w:szCs w:val="26"/>
          <w:lang w:val="ro-RO"/>
        </w:rPr>
        <w:t>e</w:t>
      </w:r>
      <w:r w:rsidRPr="00324E58">
        <w:rPr>
          <w:rFonts w:asciiTheme="minorHAnsi" w:hAnsiTheme="minorHAnsi" w:cstheme="minorHAnsi"/>
          <w:sz w:val="26"/>
          <w:szCs w:val="26"/>
          <w:lang w:val="ro-RO"/>
        </w:rPr>
        <w:t xml:space="preserve">. </w:t>
      </w:r>
    </w:p>
    <w:p w:rsidR="00900729" w:rsidRPr="00324E58" w:rsidRDefault="00900729" w:rsidP="00324E58">
      <w:pPr>
        <w:jc w:val="both"/>
        <w:rPr>
          <w:rFonts w:asciiTheme="minorHAnsi" w:hAnsiTheme="minorHAnsi" w:cstheme="minorHAnsi"/>
          <w:sz w:val="26"/>
          <w:szCs w:val="26"/>
          <w:lang w:val="ro-RO"/>
        </w:rPr>
      </w:pPr>
    </w:p>
    <w:p w:rsidR="00900729" w:rsidRPr="00324E58" w:rsidRDefault="00900729" w:rsidP="00324E58">
      <w:pPr>
        <w:jc w:val="both"/>
        <w:rPr>
          <w:rFonts w:asciiTheme="minorHAnsi" w:hAnsiTheme="minorHAnsi" w:cstheme="minorHAnsi"/>
          <w:sz w:val="26"/>
          <w:szCs w:val="26"/>
          <w:lang w:val="ro-RO"/>
        </w:rPr>
      </w:pPr>
      <w:r w:rsidRPr="00324E58">
        <w:rPr>
          <w:rFonts w:asciiTheme="minorHAnsi" w:hAnsiTheme="minorHAnsi" w:cstheme="minorHAnsi"/>
          <w:sz w:val="26"/>
          <w:szCs w:val="26"/>
          <w:lang w:val="ro-RO"/>
        </w:rPr>
        <w:t xml:space="preserve"> </w:t>
      </w:r>
    </w:p>
    <w:p w:rsidR="00900729" w:rsidRPr="00324E58" w:rsidRDefault="006E13E3" w:rsidP="00324E58">
      <w:pPr>
        <w:jc w:val="both"/>
        <w:rPr>
          <w:rFonts w:asciiTheme="minorHAnsi" w:hAnsiTheme="minorHAnsi" w:cstheme="minorHAnsi"/>
          <w:sz w:val="26"/>
          <w:szCs w:val="26"/>
          <w:lang w:val="ro-RO"/>
        </w:rPr>
      </w:pPr>
      <w:r>
        <w:rPr>
          <w:rFonts w:asciiTheme="minorHAnsi" w:hAnsiTheme="minorHAnsi" w:cstheme="minorHAnsi"/>
          <w:sz w:val="26"/>
          <w:szCs w:val="26"/>
          <w:lang w:val="ro-RO"/>
        </w:rPr>
        <w:t>F</w:t>
      </w:r>
      <w:r w:rsidR="00900729" w:rsidRPr="00324E58">
        <w:rPr>
          <w:rFonts w:asciiTheme="minorHAnsi" w:hAnsiTheme="minorHAnsi" w:cstheme="minorHAnsi"/>
          <w:sz w:val="26"/>
          <w:szCs w:val="26"/>
          <w:lang w:val="ro-RO"/>
        </w:rPr>
        <w:t xml:space="preserve">. Evaluarea Impactului </w:t>
      </w:r>
    </w:p>
    <w:p w:rsidR="009313E9" w:rsidRPr="00324E58" w:rsidRDefault="00900729" w:rsidP="00324E58">
      <w:pPr>
        <w:jc w:val="both"/>
        <w:rPr>
          <w:rFonts w:asciiTheme="minorHAnsi" w:hAnsiTheme="minorHAnsi" w:cstheme="minorHAnsi"/>
          <w:sz w:val="26"/>
          <w:szCs w:val="26"/>
          <w:lang w:val="ro-RO"/>
        </w:rPr>
      </w:pPr>
      <w:r w:rsidRPr="00324E58">
        <w:rPr>
          <w:rFonts w:asciiTheme="minorHAnsi" w:hAnsiTheme="minorHAnsi" w:cstheme="minorHAnsi"/>
          <w:sz w:val="26"/>
          <w:szCs w:val="26"/>
          <w:lang w:val="ro-RO"/>
        </w:rPr>
        <w:tab/>
        <w:t xml:space="preserve"> </w:t>
      </w:r>
    </w:p>
    <w:p w:rsidR="00900729" w:rsidRPr="00324E58" w:rsidRDefault="009313E9" w:rsidP="00324E58">
      <w:pPr>
        <w:jc w:val="both"/>
        <w:rPr>
          <w:rFonts w:asciiTheme="minorHAnsi" w:hAnsiTheme="minorHAnsi" w:cstheme="minorHAnsi"/>
          <w:sz w:val="26"/>
          <w:szCs w:val="26"/>
          <w:lang w:val="ro-RO"/>
        </w:rPr>
      </w:pPr>
      <w:r w:rsidRPr="00324E58">
        <w:rPr>
          <w:rFonts w:asciiTheme="minorHAnsi" w:hAnsiTheme="minorHAnsi" w:cstheme="minorHAnsi"/>
          <w:sz w:val="26"/>
          <w:szCs w:val="26"/>
          <w:lang w:val="ro-RO"/>
        </w:rPr>
        <w:tab/>
      </w:r>
      <w:r w:rsidR="00900729" w:rsidRPr="00324E58">
        <w:rPr>
          <w:rFonts w:asciiTheme="minorHAnsi" w:hAnsiTheme="minorHAnsi" w:cstheme="minorHAnsi"/>
          <w:sz w:val="26"/>
          <w:szCs w:val="26"/>
          <w:lang w:val="ro-RO"/>
        </w:rPr>
        <w:t>Potrivit articolului 35, unde este de a</w:t>
      </w:r>
      <w:r w:rsidR="002602E5" w:rsidRPr="00324E58">
        <w:rPr>
          <w:rFonts w:asciiTheme="minorHAnsi" w:hAnsiTheme="minorHAnsi" w:cstheme="minorHAnsi"/>
          <w:sz w:val="26"/>
          <w:szCs w:val="26"/>
          <w:lang w:val="ro-RO"/>
        </w:rPr>
        <w:t>ș</w:t>
      </w:r>
      <w:r w:rsidR="00900729" w:rsidRPr="00324E58">
        <w:rPr>
          <w:rFonts w:asciiTheme="minorHAnsi" w:hAnsiTheme="minorHAnsi" w:cstheme="minorHAnsi"/>
          <w:sz w:val="26"/>
          <w:szCs w:val="26"/>
          <w:lang w:val="ro-RO"/>
        </w:rPr>
        <w:t xml:space="preserve">teptat ca un tip de procesare a datelor să rezulte </w:t>
      </w:r>
      <w:r w:rsidR="002602E5" w:rsidRPr="00324E58">
        <w:rPr>
          <w:rFonts w:asciiTheme="minorHAnsi" w:hAnsiTheme="minorHAnsi" w:cstheme="minorHAnsi"/>
          <w:sz w:val="26"/>
          <w:szCs w:val="26"/>
          <w:lang w:val="ro-RO"/>
        </w:rPr>
        <w:t>î</w:t>
      </w:r>
      <w:r w:rsidR="00900729" w:rsidRPr="00324E58">
        <w:rPr>
          <w:rFonts w:asciiTheme="minorHAnsi" w:hAnsiTheme="minorHAnsi" w:cstheme="minorHAnsi"/>
          <w:sz w:val="26"/>
          <w:szCs w:val="26"/>
          <w:lang w:val="ro-RO"/>
        </w:rPr>
        <w:t xml:space="preserve">ntr-un risc major pentru libertatea </w:t>
      </w:r>
      <w:r w:rsidR="002602E5" w:rsidRPr="00324E58">
        <w:rPr>
          <w:rFonts w:asciiTheme="minorHAnsi" w:hAnsiTheme="minorHAnsi" w:cstheme="minorHAnsi"/>
          <w:sz w:val="26"/>
          <w:szCs w:val="26"/>
          <w:lang w:val="ro-RO"/>
        </w:rPr>
        <w:t>ș</w:t>
      </w:r>
      <w:r w:rsidR="00900729" w:rsidRPr="00324E58">
        <w:rPr>
          <w:rFonts w:asciiTheme="minorHAnsi" w:hAnsiTheme="minorHAnsi" w:cstheme="minorHAnsi"/>
          <w:sz w:val="26"/>
          <w:szCs w:val="26"/>
          <w:lang w:val="ro-RO"/>
        </w:rPr>
        <w:t>i drepturile persoanei, evaluatorul, înainte de a procesa datele, trebuie să îndeplinească un proces de evaluare a impactului (în mod special când folose</w:t>
      </w:r>
      <w:r w:rsidR="002602E5" w:rsidRPr="00324E58">
        <w:rPr>
          <w:rFonts w:asciiTheme="minorHAnsi" w:hAnsiTheme="minorHAnsi" w:cstheme="minorHAnsi"/>
          <w:sz w:val="26"/>
          <w:szCs w:val="26"/>
          <w:lang w:val="ro-RO"/>
        </w:rPr>
        <w:t>ș</w:t>
      </w:r>
      <w:r w:rsidR="00900729" w:rsidRPr="00324E58">
        <w:rPr>
          <w:rFonts w:asciiTheme="minorHAnsi" w:hAnsiTheme="minorHAnsi" w:cstheme="minorHAnsi"/>
          <w:sz w:val="26"/>
          <w:szCs w:val="26"/>
          <w:lang w:val="ro-RO"/>
        </w:rPr>
        <w:t>te noi tehnologii). Problema este că potrivit standardelor curente de evaluare a impactului, un asemenea proces de evaluare poate fi prohibitiv pentru micile cabinete. În general micile cabinete cu câ</w:t>
      </w:r>
      <w:r w:rsidR="002602E5" w:rsidRPr="00324E58">
        <w:rPr>
          <w:rFonts w:asciiTheme="minorHAnsi" w:hAnsiTheme="minorHAnsi" w:cstheme="minorHAnsi"/>
          <w:sz w:val="26"/>
          <w:szCs w:val="26"/>
          <w:lang w:val="ro-RO"/>
        </w:rPr>
        <w:t>ț</w:t>
      </w:r>
      <w:r w:rsidR="00900729" w:rsidRPr="00324E58">
        <w:rPr>
          <w:rFonts w:asciiTheme="minorHAnsi" w:hAnsiTheme="minorHAnsi" w:cstheme="minorHAnsi"/>
          <w:sz w:val="26"/>
          <w:szCs w:val="26"/>
          <w:lang w:val="ro-RO"/>
        </w:rPr>
        <w:t>iva angaja</w:t>
      </w:r>
      <w:r w:rsidR="002602E5" w:rsidRPr="00324E58">
        <w:rPr>
          <w:rFonts w:asciiTheme="minorHAnsi" w:hAnsiTheme="minorHAnsi" w:cstheme="minorHAnsi"/>
          <w:sz w:val="26"/>
          <w:szCs w:val="26"/>
          <w:lang w:val="ro-RO"/>
        </w:rPr>
        <w:t>ț</w:t>
      </w:r>
      <w:r w:rsidR="00900729" w:rsidRPr="00324E58">
        <w:rPr>
          <w:rFonts w:asciiTheme="minorHAnsi" w:hAnsiTheme="minorHAnsi" w:cstheme="minorHAnsi"/>
          <w:sz w:val="26"/>
          <w:szCs w:val="26"/>
          <w:lang w:val="ro-RO"/>
        </w:rPr>
        <w:t xml:space="preserve">i nu sunt în măsură să </w:t>
      </w:r>
      <w:r w:rsidR="008C7E75" w:rsidRPr="00324E58">
        <w:rPr>
          <w:rFonts w:asciiTheme="minorHAnsi" w:hAnsiTheme="minorHAnsi" w:cstheme="minorHAnsi"/>
          <w:sz w:val="26"/>
          <w:szCs w:val="26"/>
          <w:lang w:val="ro-RO"/>
        </w:rPr>
        <w:t xml:space="preserve">pună în aplicare </w:t>
      </w:r>
      <w:r w:rsidR="00900729" w:rsidRPr="00324E58">
        <w:rPr>
          <w:rFonts w:asciiTheme="minorHAnsi" w:hAnsiTheme="minorHAnsi" w:cstheme="minorHAnsi"/>
          <w:sz w:val="26"/>
          <w:szCs w:val="26"/>
          <w:lang w:val="ro-RO"/>
        </w:rPr>
        <w:t>asemenea măsuri stricte în toate cazurile.</w:t>
      </w:r>
      <w:r w:rsidR="008C7E75" w:rsidRPr="00324E58">
        <w:rPr>
          <w:rFonts w:asciiTheme="minorHAnsi" w:hAnsiTheme="minorHAnsi" w:cstheme="minorHAnsi"/>
          <w:sz w:val="26"/>
          <w:szCs w:val="26"/>
          <w:lang w:val="ro-RO"/>
        </w:rPr>
        <w:t xml:space="preserve"> </w:t>
      </w:r>
      <w:r w:rsidR="00900729" w:rsidRPr="00324E58">
        <w:rPr>
          <w:rFonts w:asciiTheme="minorHAnsi" w:hAnsiTheme="minorHAnsi" w:cstheme="minorHAnsi"/>
          <w:sz w:val="26"/>
          <w:szCs w:val="26"/>
          <w:lang w:val="ro-RO"/>
        </w:rPr>
        <w:t>În prezent</w:t>
      </w:r>
      <w:r w:rsidR="008C7E75" w:rsidRPr="00324E58">
        <w:rPr>
          <w:rFonts w:asciiTheme="minorHAnsi" w:hAnsiTheme="minorHAnsi" w:cstheme="minorHAnsi"/>
          <w:sz w:val="26"/>
          <w:szCs w:val="26"/>
          <w:lang w:val="ro-RO"/>
        </w:rPr>
        <w:t>,</w:t>
      </w:r>
      <w:r w:rsidR="00900729" w:rsidRPr="00324E58">
        <w:rPr>
          <w:rFonts w:asciiTheme="minorHAnsi" w:hAnsiTheme="minorHAnsi" w:cstheme="minorHAnsi"/>
          <w:sz w:val="26"/>
          <w:szCs w:val="26"/>
          <w:lang w:val="ro-RO"/>
        </w:rPr>
        <w:t xml:space="preserve"> procesele de evaluare a impactului spargerii datelor sunt diverse în ceea ce prive</w:t>
      </w:r>
      <w:r w:rsidR="002602E5" w:rsidRPr="00324E58">
        <w:rPr>
          <w:rFonts w:asciiTheme="minorHAnsi" w:hAnsiTheme="minorHAnsi" w:cstheme="minorHAnsi"/>
          <w:sz w:val="26"/>
          <w:szCs w:val="26"/>
          <w:lang w:val="ro-RO"/>
        </w:rPr>
        <w:t>ș</w:t>
      </w:r>
      <w:r w:rsidR="00900729" w:rsidRPr="00324E58">
        <w:rPr>
          <w:rFonts w:asciiTheme="minorHAnsi" w:hAnsiTheme="minorHAnsi" w:cstheme="minorHAnsi"/>
          <w:sz w:val="26"/>
          <w:szCs w:val="26"/>
          <w:lang w:val="ro-RO"/>
        </w:rPr>
        <w:t>te con</w:t>
      </w:r>
      <w:r w:rsidR="002602E5" w:rsidRPr="00324E58">
        <w:rPr>
          <w:rFonts w:asciiTheme="minorHAnsi" w:hAnsiTheme="minorHAnsi" w:cstheme="minorHAnsi"/>
          <w:sz w:val="26"/>
          <w:szCs w:val="26"/>
          <w:lang w:val="ro-RO"/>
        </w:rPr>
        <w:t>ț</w:t>
      </w:r>
      <w:r w:rsidR="00900729" w:rsidRPr="00324E58">
        <w:rPr>
          <w:rFonts w:asciiTheme="minorHAnsi" w:hAnsiTheme="minorHAnsi" w:cstheme="minorHAnsi"/>
          <w:sz w:val="26"/>
          <w:szCs w:val="26"/>
          <w:lang w:val="ro-RO"/>
        </w:rPr>
        <w:t xml:space="preserve">inutul </w:t>
      </w:r>
      <w:r w:rsidR="002602E5" w:rsidRPr="00324E58">
        <w:rPr>
          <w:rFonts w:asciiTheme="minorHAnsi" w:hAnsiTheme="minorHAnsi" w:cstheme="minorHAnsi"/>
          <w:sz w:val="26"/>
          <w:szCs w:val="26"/>
          <w:lang w:val="ro-RO"/>
        </w:rPr>
        <w:t>ș</w:t>
      </w:r>
      <w:r w:rsidR="00900729" w:rsidRPr="00324E58">
        <w:rPr>
          <w:rFonts w:asciiTheme="minorHAnsi" w:hAnsiTheme="minorHAnsi" w:cstheme="minorHAnsi"/>
          <w:sz w:val="26"/>
          <w:szCs w:val="26"/>
          <w:lang w:val="ro-RO"/>
        </w:rPr>
        <w:t xml:space="preserve">i metodele de evaluare. Chiar dacă </w:t>
      </w:r>
      <w:r w:rsidR="00900729" w:rsidRPr="00324E58">
        <w:rPr>
          <w:rFonts w:asciiTheme="minorHAnsi" w:hAnsiTheme="minorHAnsi" w:cstheme="minorHAnsi"/>
          <w:sz w:val="26"/>
          <w:szCs w:val="26"/>
          <w:lang w:val="ro-RO"/>
        </w:rPr>
        <w:lastRenderedPageBreak/>
        <w:t>uniformizarea însă</w:t>
      </w:r>
      <w:r w:rsidR="002602E5" w:rsidRPr="00324E58">
        <w:rPr>
          <w:rFonts w:asciiTheme="minorHAnsi" w:hAnsiTheme="minorHAnsi" w:cstheme="minorHAnsi"/>
          <w:sz w:val="26"/>
          <w:szCs w:val="26"/>
          <w:lang w:val="ro-RO"/>
        </w:rPr>
        <w:t>ș</w:t>
      </w:r>
      <w:r w:rsidR="00900729" w:rsidRPr="00324E58">
        <w:rPr>
          <w:rFonts w:asciiTheme="minorHAnsi" w:hAnsiTheme="minorHAnsi" w:cstheme="minorHAnsi"/>
          <w:sz w:val="26"/>
          <w:szCs w:val="26"/>
          <w:lang w:val="ro-RO"/>
        </w:rPr>
        <w:t>i ajunge la nivelul detaliilor referitor la procesul de evaluare a impactului, necesită</w:t>
      </w:r>
      <w:r w:rsidR="002602E5" w:rsidRPr="00324E58">
        <w:rPr>
          <w:rFonts w:asciiTheme="minorHAnsi" w:hAnsiTheme="minorHAnsi" w:cstheme="minorHAnsi"/>
          <w:sz w:val="26"/>
          <w:szCs w:val="26"/>
          <w:lang w:val="ro-RO"/>
        </w:rPr>
        <w:t>ț</w:t>
      </w:r>
      <w:r w:rsidR="00900729" w:rsidRPr="00324E58">
        <w:rPr>
          <w:rFonts w:asciiTheme="minorHAnsi" w:hAnsiTheme="minorHAnsi" w:cstheme="minorHAnsi"/>
          <w:sz w:val="26"/>
          <w:szCs w:val="26"/>
          <w:lang w:val="ro-RO"/>
        </w:rPr>
        <w:t xml:space="preserve">ile în mod practic pentru această uniformizare nu sunt </w:t>
      </w:r>
      <w:r w:rsidR="008C7E75" w:rsidRPr="00324E58">
        <w:rPr>
          <w:rFonts w:asciiTheme="minorHAnsi" w:hAnsiTheme="minorHAnsi" w:cstheme="minorHAnsi"/>
          <w:sz w:val="26"/>
          <w:szCs w:val="26"/>
          <w:lang w:val="ro-RO"/>
        </w:rPr>
        <w:t>cunoscute încă.</w:t>
      </w:r>
    </w:p>
    <w:p w:rsidR="00900729" w:rsidRPr="00324E58" w:rsidRDefault="00900729" w:rsidP="00324E58">
      <w:pPr>
        <w:jc w:val="both"/>
        <w:rPr>
          <w:rFonts w:asciiTheme="minorHAnsi" w:hAnsiTheme="minorHAnsi" w:cstheme="minorHAnsi"/>
          <w:sz w:val="26"/>
          <w:szCs w:val="26"/>
          <w:lang w:val="ro-RO"/>
        </w:rPr>
      </w:pPr>
    </w:p>
    <w:p w:rsidR="004B7286" w:rsidRPr="00324E58" w:rsidRDefault="004B7286" w:rsidP="00324E58">
      <w:pPr>
        <w:jc w:val="both"/>
        <w:rPr>
          <w:rFonts w:asciiTheme="minorHAnsi" w:hAnsiTheme="minorHAnsi" w:cstheme="minorHAnsi"/>
          <w:sz w:val="26"/>
          <w:szCs w:val="26"/>
          <w:lang w:val="ro-RO"/>
        </w:rPr>
      </w:pPr>
    </w:p>
    <w:p w:rsidR="00900729" w:rsidRPr="00324E58" w:rsidRDefault="006E13E3" w:rsidP="00324E58">
      <w:pPr>
        <w:jc w:val="both"/>
        <w:rPr>
          <w:rFonts w:asciiTheme="minorHAnsi" w:hAnsiTheme="minorHAnsi" w:cstheme="minorHAnsi"/>
          <w:sz w:val="26"/>
          <w:szCs w:val="26"/>
          <w:lang w:val="ro-RO"/>
        </w:rPr>
      </w:pPr>
      <w:r>
        <w:rPr>
          <w:rFonts w:asciiTheme="minorHAnsi" w:hAnsiTheme="minorHAnsi" w:cstheme="minorHAnsi"/>
          <w:sz w:val="26"/>
          <w:szCs w:val="26"/>
          <w:lang w:val="ro-RO"/>
        </w:rPr>
        <w:t>G</w:t>
      </w:r>
      <w:r w:rsidR="00900729" w:rsidRPr="00324E58">
        <w:rPr>
          <w:rFonts w:asciiTheme="minorHAnsi" w:hAnsiTheme="minorHAnsi" w:cstheme="minorHAnsi"/>
          <w:sz w:val="26"/>
          <w:szCs w:val="26"/>
          <w:lang w:val="ro-RO"/>
        </w:rPr>
        <w:t xml:space="preserve">. Portabilitatea datelor </w:t>
      </w:r>
    </w:p>
    <w:p w:rsidR="008C7E75" w:rsidRPr="00324E58" w:rsidRDefault="00900729" w:rsidP="00324E58">
      <w:pPr>
        <w:jc w:val="both"/>
        <w:rPr>
          <w:rFonts w:asciiTheme="minorHAnsi" w:hAnsiTheme="minorHAnsi" w:cstheme="minorHAnsi"/>
          <w:sz w:val="26"/>
          <w:szCs w:val="26"/>
          <w:lang w:val="ro-RO"/>
        </w:rPr>
      </w:pPr>
      <w:r w:rsidRPr="00324E58">
        <w:rPr>
          <w:rFonts w:asciiTheme="minorHAnsi" w:hAnsiTheme="minorHAnsi" w:cstheme="minorHAnsi"/>
          <w:sz w:val="26"/>
          <w:szCs w:val="26"/>
          <w:lang w:val="ro-RO"/>
        </w:rPr>
        <w:tab/>
      </w:r>
    </w:p>
    <w:p w:rsidR="00900729" w:rsidRPr="00324E58" w:rsidRDefault="008C7E75" w:rsidP="00324E58">
      <w:pPr>
        <w:jc w:val="both"/>
        <w:rPr>
          <w:rFonts w:asciiTheme="minorHAnsi" w:hAnsiTheme="minorHAnsi" w:cstheme="minorHAnsi"/>
          <w:sz w:val="26"/>
          <w:szCs w:val="26"/>
          <w:lang w:val="ro-RO"/>
        </w:rPr>
      </w:pPr>
      <w:r w:rsidRPr="00324E58">
        <w:rPr>
          <w:rFonts w:asciiTheme="minorHAnsi" w:hAnsiTheme="minorHAnsi" w:cstheme="minorHAnsi"/>
          <w:sz w:val="26"/>
          <w:szCs w:val="26"/>
          <w:lang w:val="ro-RO"/>
        </w:rPr>
        <w:tab/>
      </w:r>
      <w:r w:rsidR="00900729" w:rsidRPr="00324E58">
        <w:rPr>
          <w:rFonts w:asciiTheme="minorHAnsi" w:hAnsiTheme="minorHAnsi" w:cstheme="minorHAnsi"/>
          <w:sz w:val="26"/>
          <w:szCs w:val="26"/>
          <w:lang w:val="ro-RO"/>
        </w:rPr>
        <w:t xml:space="preserve"> Subiec</w:t>
      </w:r>
      <w:r w:rsidR="002602E5" w:rsidRPr="00324E58">
        <w:rPr>
          <w:rFonts w:asciiTheme="minorHAnsi" w:hAnsiTheme="minorHAnsi" w:cstheme="minorHAnsi"/>
          <w:sz w:val="26"/>
          <w:szCs w:val="26"/>
          <w:lang w:val="ro-RO"/>
        </w:rPr>
        <w:t>ț</w:t>
      </w:r>
      <w:r w:rsidR="00900729" w:rsidRPr="00324E58">
        <w:rPr>
          <w:rFonts w:asciiTheme="minorHAnsi" w:hAnsiTheme="minorHAnsi" w:cstheme="minorHAnsi"/>
          <w:sz w:val="26"/>
          <w:szCs w:val="26"/>
          <w:lang w:val="ro-RO"/>
        </w:rPr>
        <w:t>ii procesorului de date au dreptul să ob</w:t>
      </w:r>
      <w:r w:rsidR="002602E5" w:rsidRPr="00324E58">
        <w:rPr>
          <w:rFonts w:asciiTheme="minorHAnsi" w:hAnsiTheme="minorHAnsi" w:cstheme="minorHAnsi"/>
          <w:sz w:val="26"/>
          <w:szCs w:val="26"/>
          <w:lang w:val="ro-RO"/>
        </w:rPr>
        <w:t>ț</w:t>
      </w:r>
      <w:r w:rsidR="00900729" w:rsidRPr="00324E58">
        <w:rPr>
          <w:rFonts w:asciiTheme="minorHAnsi" w:hAnsiTheme="minorHAnsi" w:cstheme="minorHAnsi"/>
          <w:sz w:val="26"/>
          <w:szCs w:val="26"/>
          <w:lang w:val="ro-RO"/>
        </w:rPr>
        <w:t>ină de la supervizor o copie a datelor lor personale care sunt</w:t>
      </w:r>
      <w:r w:rsidR="004B7286" w:rsidRPr="00324E58">
        <w:rPr>
          <w:rFonts w:asciiTheme="minorHAnsi" w:hAnsiTheme="minorHAnsi" w:cstheme="minorHAnsi"/>
          <w:sz w:val="26"/>
          <w:szCs w:val="26"/>
          <w:lang w:val="ro-RO"/>
        </w:rPr>
        <w:t>,</w:t>
      </w:r>
      <w:r w:rsidR="00900729" w:rsidRPr="00324E58">
        <w:rPr>
          <w:rFonts w:asciiTheme="minorHAnsi" w:hAnsiTheme="minorHAnsi" w:cstheme="minorHAnsi"/>
          <w:sz w:val="26"/>
          <w:szCs w:val="26"/>
          <w:lang w:val="ro-RO"/>
        </w:rPr>
        <w:t xml:space="preserve"> sau au fost procesate. Articolul 20 prevede că asemenea date ar trebui înmânate </w:t>
      </w:r>
      <w:r w:rsidR="002602E5" w:rsidRPr="00324E58">
        <w:rPr>
          <w:rFonts w:asciiTheme="minorHAnsi" w:hAnsiTheme="minorHAnsi" w:cstheme="minorHAnsi"/>
          <w:sz w:val="26"/>
          <w:szCs w:val="26"/>
          <w:lang w:val="ro-RO"/>
        </w:rPr>
        <w:t>î</w:t>
      </w:r>
      <w:r w:rsidR="00900729" w:rsidRPr="00324E58">
        <w:rPr>
          <w:rFonts w:asciiTheme="minorHAnsi" w:hAnsiTheme="minorHAnsi" w:cstheme="minorHAnsi"/>
          <w:sz w:val="26"/>
          <w:szCs w:val="26"/>
          <w:lang w:val="ro-RO"/>
        </w:rPr>
        <w:t xml:space="preserve">ntr-un mod structurat, folosit frecvent </w:t>
      </w:r>
      <w:r w:rsidR="002602E5" w:rsidRPr="00324E58">
        <w:rPr>
          <w:rFonts w:asciiTheme="minorHAnsi" w:hAnsiTheme="minorHAnsi" w:cstheme="minorHAnsi"/>
          <w:sz w:val="26"/>
          <w:szCs w:val="26"/>
          <w:lang w:val="ro-RO"/>
        </w:rPr>
        <w:t>ș</w:t>
      </w:r>
      <w:r w:rsidR="00900729" w:rsidRPr="00324E58">
        <w:rPr>
          <w:rFonts w:asciiTheme="minorHAnsi" w:hAnsiTheme="minorHAnsi" w:cstheme="minorHAnsi"/>
          <w:sz w:val="26"/>
          <w:szCs w:val="26"/>
          <w:lang w:val="ro-RO"/>
        </w:rPr>
        <w:t>i în mod comun.</w:t>
      </w:r>
      <w:r w:rsidR="002602E5" w:rsidRPr="00324E58">
        <w:rPr>
          <w:rFonts w:asciiTheme="minorHAnsi" w:hAnsiTheme="minorHAnsi" w:cstheme="minorHAnsi"/>
          <w:sz w:val="26"/>
          <w:szCs w:val="26"/>
          <w:lang w:val="ro-RO"/>
        </w:rPr>
        <w:t xml:space="preserve"> </w:t>
      </w:r>
    </w:p>
    <w:p w:rsidR="00900729" w:rsidRPr="00324E58" w:rsidRDefault="00900729" w:rsidP="00324E58">
      <w:pPr>
        <w:jc w:val="both"/>
        <w:rPr>
          <w:rFonts w:asciiTheme="minorHAnsi" w:hAnsiTheme="minorHAnsi" w:cstheme="minorHAnsi"/>
          <w:sz w:val="26"/>
          <w:szCs w:val="26"/>
          <w:lang w:val="ro-RO"/>
        </w:rPr>
      </w:pPr>
    </w:p>
    <w:p w:rsidR="00900729" w:rsidRPr="00324E58" w:rsidRDefault="00900729" w:rsidP="00324E58">
      <w:pPr>
        <w:jc w:val="both"/>
        <w:rPr>
          <w:rFonts w:asciiTheme="minorHAnsi" w:hAnsiTheme="minorHAnsi" w:cstheme="minorHAnsi"/>
          <w:sz w:val="26"/>
          <w:szCs w:val="26"/>
          <w:lang w:val="ro-RO"/>
        </w:rPr>
      </w:pPr>
      <w:r w:rsidRPr="00324E58">
        <w:rPr>
          <w:rFonts w:asciiTheme="minorHAnsi" w:hAnsiTheme="minorHAnsi" w:cstheme="minorHAnsi"/>
          <w:sz w:val="26"/>
          <w:szCs w:val="26"/>
          <w:lang w:val="ro-RO"/>
        </w:rPr>
        <w:t xml:space="preserve"> </w:t>
      </w:r>
      <w:r w:rsidR="006E13E3">
        <w:rPr>
          <w:rFonts w:asciiTheme="minorHAnsi" w:hAnsiTheme="minorHAnsi" w:cstheme="minorHAnsi"/>
          <w:sz w:val="26"/>
          <w:szCs w:val="26"/>
          <w:lang w:val="ro-RO"/>
        </w:rPr>
        <w:t>H</w:t>
      </w:r>
      <w:r w:rsidRPr="00324E58">
        <w:rPr>
          <w:rFonts w:asciiTheme="minorHAnsi" w:hAnsiTheme="minorHAnsi" w:cstheme="minorHAnsi"/>
          <w:sz w:val="26"/>
          <w:szCs w:val="26"/>
          <w:lang w:val="ro-RO"/>
        </w:rPr>
        <w:t>.</w:t>
      </w:r>
      <w:r w:rsidR="002602E5" w:rsidRPr="00324E58">
        <w:rPr>
          <w:rFonts w:asciiTheme="minorHAnsi" w:hAnsiTheme="minorHAnsi" w:cstheme="minorHAnsi"/>
          <w:sz w:val="26"/>
          <w:szCs w:val="26"/>
          <w:lang w:val="ro-RO"/>
        </w:rPr>
        <w:t xml:space="preserve"> </w:t>
      </w:r>
      <w:r w:rsidRPr="00324E58">
        <w:rPr>
          <w:rFonts w:asciiTheme="minorHAnsi" w:hAnsiTheme="minorHAnsi" w:cstheme="minorHAnsi"/>
          <w:sz w:val="26"/>
          <w:szCs w:val="26"/>
          <w:lang w:val="ro-RO"/>
        </w:rPr>
        <w:t xml:space="preserve">Abilitatea de a urmări destinatarii transmiterii datelor personale </w:t>
      </w:r>
    </w:p>
    <w:p w:rsidR="008C7E75" w:rsidRPr="00324E58" w:rsidRDefault="00900729" w:rsidP="00324E58">
      <w:pPr>
        <w:jc w:val="both"/>
        <w:rPr>
          <w:rFonts w:asciiTheme="minorHAnsi" w:hAnsiTheme="minorHAnsi" w:cstheme="minorHAnsi"/>
          <w:sz w:val="26"/>
          <w:szCs w:val="26"/>
          <w:lang w:val="ro-RO"/>
        </w:rPr>
      </w:pPr>
      <w:r w:rsidRPr="00324E58">
        <w:rPr>
          <w:rFonts w:asciiTheme="minorHAnsi" w:hAnsiTheme="minorHAnsi" w:cstheme="minorHAnsi"/>
          <w:sz w:val="26"/>
          <w:szCs w:val="26"/>
          <w:lang w:val="ro-RO"/>
        </w:rPr>
        <w:tab/>
      </w:r>
    </w:p>
    <w:p w:rsidR="00900729" w:rsidRPr="00324E58" w:rsidRDefault="008C7E75" w:rsidP="00324E58">
      <w:pPr>
        <w:jc w:val="both"/>
        <w:rPr>
          <w:rFonts w:asciiTheme="minorHAnsi" w:hAnsiTheme="minorHAnsi" w:cstheme="minorHAnsi"/>
          <w:sz w:val="26"/>
          <w:szCs w:val="26"/>
          <w:lang w:val="ro-RO"/>
        </w:rPr>
      </w:pPr>
      <w:r w:rsidRPr="00324E58">
        <w:rPr>
          <w:rFonts w:asciiTheme="minorHAnsi" w:hAnsiTheme="minorHAnsi" w:cstheme="minorHAnsi"/>
          <w:sz w:val="26"/>
          <w:szCs w:val="26"/>
          <w:lang w:val="ro-RO"/>
        </w:rPr>
        <w:tab/>
      </w:r>
      <w:r w:rsidR="00900729" w:rsidRPr="00324E58">
        <w:rPr>
          <w:rFonts w:asciiTheme="minorHAnsi" w:hAnsiTheme="minorHAnsi" w:cstheme="minorHAnsi"/>
          <w:sz w:val="26"/>
          <w:szCs w:val="26"/>
          <w:lang w:val="ro-RO"/>
        </w:rPr>
        <w:t>Controlorii de date au obliga</w:t>
      </w:r>
      <w:r w:rsidR="002602E5" w:rsidRPr="00324E58">
        <w:rPr>
          <w:rFonts w:asciiTheme="minorHAnsi" w:hAnsiTheme="minorHAnsi" w:cstheme="minorHAnsi"/>
          <w:sz w:val="26"/>
          <w:szCs w:val="26"/>
          <w:lang w:val="ro-RO"/>
        </w:rPr>
        <w:t>ț</w:t>
      </w:r>
      <w:r w:rsidR="00900729" w:rsidRPr="00324E58">
        <w:rPr>
          <w:rFonts w:asciiTheme="minorHAnsi" w:hAnsiTheme="minorHAnsi" w:cstheme="minorHAnsi"/>
          <w:sz w:val="26"/>
          <w:szCs w:val="26"/>
          <w:lang w:val="ro-RO"/>
        </w:rPr>
        <w:t>ia de a urmări destinatarii transmisiei datelor personale apar</w:t>
      </w:r>
      <w:r w:rsidR="002602E5" w:rsidRPr="00324E58">
        <w:rPr>
          <w:rFonts w:asciiTheme="minorHAnsi" w:hAnsiTheme="minorHAnsi" w:cstheme="minorHAnsi"/>
          <w:sz w:val="26"/>
          <w:szCs w:val="26"/>
          <w:lang w:val="ro-RO"/>
        </w:rPr>
        <w:t>ț</w:t>
      </w:r>
      <w:r w:rsidR="00900729" w:rsidRPr="00324E58">
        <w:rPr>
          <w:rFonts w:asciiTheme="minorHAnsi" w:hAnsiTheme="minorHAnsi" w:cstheme="minorHAnsi"/>
          <w:sz w:val="26"/>
          <w:szCs w:val="26"/>
          <w:lang w:val="ro-RO"/>
        </w:rPr>
        <w:t xml:space="preserve">inând unei anumite persoane (minim, nume </w:t>
      </w:r>
      <w:r w:rsidR="002602E5" w:rsidRPr="00324E58">
        <w:rPr>
          <w:rFonts w:asciiTheme="minorHAnsi" w:hAnsiTheme="minorHAnsi" w:cstheme="minorHAnsi"/>
          <w:sz w:val="26"/>
          <w:szCs w:val="26"/>
          <w:lang w:val="ro-RO"/>
        </w:rPr>
        <w:t>ș</w:t>
      </w:r>
      <w:r w:rsidR="00900729" w:rsidRPr="00324E58">
        <w:rPr>
          <w:rFonts w:asciiTheme="minorHAnsi" w:hAnsiTheme="minorHAnsi" w:cstheme="minorHAnsi"/>
          <w:sz w:val="26"/>
          <w:szCs w:val="26"/>
          <w:lang w:val="ro-RO"/>
        </w:rPr>
        <w:t>i detalii privind contactul digital). Această este de asemenea o obliga</w:t>
      </w:r>
      <w:r w:rsidR="002602E5" w:rsidRPr="00324E58">
        <w:rPr>
          <w:rFonts w:asciiTheme="minorHAnsi" w:hAnsiTheme="minorHAnsi" w:cstheme="minorHAnsi"/>
          <w:sz w:val="26"/>
          <w:szCs w:val="26"/>
          <w:lang w:val="ro-RO"/>
        </w:rPr>
        <w:t>ț</w:t>
      </w:r>
      <w:r w:rsidR="00900729" w:rsidRPr="00324E58">
        <w:rPr>
          <w:rFonts w:asciiTheme="minorHAnsi" w:hAnsiTheme="minorHAnsi" w:cstheme="minorHAnsi"/>
          <w:sz w:val="26"/>
          <w:szCs w:val="26"/>
          <w:lang w:val="ro-RO"/>
        </w:rPr>
        <w:t xml:space="preserve">ie care ar putea fi îndeplinită de multe cabinete dacă s-ar efectua anumite schimbări în sistemele lor IT (un exemplu ar fi configurarea sistemelor astfel încât să </w:t>
      </w:r>
      <w:r w:rsidRPr="00324E58">
        <w:rPr>
          <w:rFonts w:asciiTheme="minorHAnsi" w:hAnsiTheme="minorHAnsi" w:cstheme="minorHAnsi"/>
          <w:sz w:val="26"/>
          <w:szCs w:val="26"/>
          <w:lang w:val="ro-RO"/>
        </w:rPr>
        <w:t xml:space="preserve">dispună </w:t>
      </w:r>
      <w:r w:rsidR="00900729" w:rsidRPr="00324E58">
        <w:rPr>
          <w:rFonts w:asciiTheme="minorHAnsi" w:hAnsiTheme="minorHAnsi" w:cstheme="minorHAnsi"/>
          <w:sz w:val="26"/>
          <w:szCs w:val="26"/>
          <w:lang w:val="ro-RO"/>
        </w:rPr>
        <w:t>mijlo</w:t>
      </w:r>
      <w:r w:rsidRPr="00324E58">
        <w:rPr>
          <w:rFonts w:asciiTheme="minorHAnsi" w:hAnsiTheme="minorHAnsi" w:cstheme="minorHAnsi"/>
          <w:sz w:val="26"/>
          <w:szCs w:val="26"/>
          <w:lang w:val="ro-RO"/>
        </w:rPr>
        <w:t>a</w:t>
      </w:r>
      <w:r w:rsidR="00900729" w:rsidRPr="00324E58">
        <w:rPr>
          <w:rFonts w:asciiTheme="minorHAnsi" w:hAnsiTheme="minorHAnsi" w:cstheme="minorHAnsi"/>
          <w:sz w:val="26"/>
          <w:szCs w:val="26"/>
          <w:lang w:val="ro-RO"/>
        </w:rPr>
        <w:t>c</w:t>
      </w:r>
      <w:r w:rsidRPr="00324E58">
        <w:rPr>
          <w:rFonts w:asciiTheme="minorHAnsi" w:hAnsiTheme="minorHAnsi" w:cstheme="minorHAnsi"/>
          <w:sz w:val="26"/>
          <w:szCs w:val="26"/>
          <w:lang w:val="ro-RO"/>
        </w:rPr>
        <w:t>e</w:t>
      </w:r>
      <w:r w:rsidR="002602E5" w:rsidRPr="00324E58">
        <w:rPr>
          <w:rFonts w:asciiTheme="minorHAnsi" w:hAnsiTheme="minorHAnsi" w:cstheme="minorHAnsi"/>
          <w:sz w:val="26"/>
          <w:szCs w:val="26"/>
          <w:lang w:val="ro-RO"/>
        </w:rPr>
        <w:t xml:space="preserve"> </w:t>
      </w:r>
      <w:r w:rsidR="00900729" w:rsidRPr="00324E58">
        <w:rPr>
          <w:rFonts w:asciiTheme="minorHAnsi" w:hAnsiTheme="minorHAnsi" w:cstheme="minorHAnsi"/>
          <w:sz w:val="26"/>
          <w:szCs w:val="26"/>
          <w:lang w:val="ro-RO"/>
        </w:rPr>
        <w:t xml:space="preserve">pentru a </w:t>
      </w:r>
      <w:r w:rsidRPr="00324E58">
        <w:rPr>
          <w:rFonts w:asciiTheme="minorHAnsi" w:hAnsiTheme="minorHAnsi" w:cstheme="minorHAnsi"/>
          <w:sz w:val="26"/>
          <w:szCs w:val="26"/>
          <w:lang w:val="ro-RO"/>
        </w:rPr>
        <w:t xml:space="preserve">putea </w:t>
      </w:r>
      <w:r w:rsidR="00900729" w:rsidRPr="00324E58">
        <w:rPr>
          <w:rFonts w:asciiTheme="minorHAnsi" w:hAnsiTheme="minorHAnsi" w:cstheme="minorHAnsi"/>
          <w:sz w:val="26"/>
          <w:szCs w:val="26"/>
          <w:lang w:val="ro-RO"/>
        </w:rPr>
        <w:t>urmări istoricul destinatarilor schimburilor de date personale.</w:t>
      </w:r>
    </w:p>
    <w:p w:rsidR="00900729" w:rsidRPr="00324E58" w:rsidRDefault="00900729" w:rsidP="00324E58">
      <w:pPr>
        <w:jc w:val="both"/>
        <w:rPr>
          <w:rFonts w:asciiTheme="minorHAnsi" w:hAnsiTheme="minorHAnsi" w:cstheme="minorHAnsi"/>
          <w:sz w:val="26"/>
          <w:szCs w:val="26"/>
          <w:lang w:val="ro-RO"/>
        </w:rPr>
      </w:pPr>
    </w:p>
    <w:p w:rsidR="00AE0FD8" w:rsidRPr="00324E58" w:rsidRDefault="00324E58" w:rsidP="00324E58">
      <w:pPr>
        <w:jc w:val="both"/>
        <w:rPr>
          <w:rFonts w:asciiTheme="minorHAnsi" w:hAnsiTheme="minorHAnsi" w:cstheme="minorHAnsi"/>
          <w:b/>
          <w:sz w:val="26"/>
          <w:szCs w:val="26"/>
          <w:lang w:val="ro-RO"/>
        </w:rPr>
      </w:pPr>
      <w:r w:rsidRPr="00324E58">
        <w:rPr>
          <w:rFonts w:asciiTheme="minorHAnsi" w:hAnsiTheme="minorHAnsi" w:cstheme="minorHAnsi"/>
          <w:b/>
          <w:sz w:val="26"/>
          <w:szCs w:val="26"/>
          <w:lang w:val="ro-RO"/>
        </w:rPr>
        <w:t>2</w:t>
      </w:r>
      <w:r w:rsidR="00FA5472" w:rsidRPr="00324E58">
        <w:rPr>
          <w:rFonts w:asciiTheme="minorHAnsi" w:hAnsiTheme="minorHAnsi" w:cstheme="minorHAnsi"/>
          <w:b/>
          <w:sz w:val="26"/>
          <w:szCs w:val="26"/>
          <w:lang w:val="ro-RO"/>
        </w:rPr>
        <w:t>.</w:t>
      </w:r>
      <w:r w:rsidR="002602E5" w:rsidRPr="00324E58">
        <w:rPr>
          <w:rFonts w:asciiTheme="minorHAnsi" w:hAnsiTheme="minorHAnsi" w:cstheme="minorHAnsi"/>
          <w:b/>
          <w:sz w:val="26"/>
          <w:szCs w:val="26"/>
          <w:lang w:val="ro-RO"/>
        </w:rPr>
        <w:t xml:space="preserve"> </w:t>
      </w:r>
      <w:r w:rsidR="00AE0FD8" w:rsidRPr="00324E58">
        <w:rPr>
          <w:rFonts w:asciiTheme="minorHAnsi" w:hAnsiTheme="minorHAnsi" w:cstheme="minorHAnsi"/>
          <w:b/>
          <w:sz w:val="26"/>
          <w:szCs w:val="26"/>
          <w:lang w:val="ro-RO"/>
        </w:rPr>
        <w:t xml:space="preserve">Proiect al concluziilor </w:t>
      </w:r>
      <w:r w:rsidR="00E0622E" w:rsidRPr="00324E58">
        <w:rPr>
          <w:rFonts w:asciiTheme="minorHAnsi" w:hAnsiTheme="minorHAnsi" w:cstheme="minorHAnsi"/>
          <w:b/>
          <w:sz w:val="26"/>
          <w:szCs w:val="26"/>
          <w:lang w:val="ro-RO"/>
        </w:rPr>
        <w:t xml:space="preserve">CCBE </w:t>
      </w:r>
      <w:r w:rsidR="00AE0FD8" w:rsidRPr="00324E58">
        <w:rPr>
          <w:rFonts w:asciiTheme="minorHAnsi" w:hAnsiTheme="minorHAnsi" w:cstheme="minorHAnsi"/>
          <w:b/>
          <w:sz w:val="26"/>
          <w:szCs w:val="26"/>
          <w:lang w:val="ro-RO"/>
        </w:rPr>
        <w:t xml:space="preserve">asupra </w:t>
      </w:r>
      <w:r w:rsidR="00E0622E" w:rsidRPr="00324E58">
        <w:rPr>
          <w:rFonts w:asciiTheme="minorHAnsi" w:hAnsiTheme="minorHAnsi" w:cstheme="minorHAnsi"/>
          <w:b/>
          <w:sz w:val="26"/>
          <w:szCs w:val="26"/>
          <w:lang w:val="ro-RO"/>
        </w:rPr>
        <w:t xml:space="preserve">consultării lansate de Comisia Europeană asupra </w:t>
      </w:r>
      <w:r w:rsidR="00AE0FD8" w:rsidRPr="00324E58">
        <w:rPr>
          <w:rFonts w:asciiTheme="minorHAnsi" w:hAnsiTheme="minorHAnsi" w:cstheme="minorHAnsi"/>
          <w:b/>
          <w:sz w:val="26"/>
          <w:szCs w:val="26"/>
          <w:lang w:val="ro-RO"/>
        </w:rPr>
        <w:t>protec</w:t>
      </w:r>
      <w:r w:rsidR="002602E5" w:rsidRPr="00324E58">
        <w:rPr>
          <w:rFonts w:asciiTheme="minorHAnsi" w:hAnsiTheme="minorHAnsi" w:cstheme="minorHAnsi"/>
          <w:b/>
          <w:sz w:val="26"/>
          <w:szCs w:val="26"/>
          <w:lang w:val="ro-RO"/>
        </w:rPr>
        <w:t>ț</w:t>
      </w:r>
      <w:r w:rsidR="00AE0FD8" w:rsidRPr="00324E58">
        <w:rPr>
          <w:rFonts w:asciiTheme="minorHAnsi" w:hAnsiTheme="minorHAnsi" w:cstheme="minorHAnsi"/>
          <w:b/>
          <w:sz w:val="26"/>
          <w:szCs w:val="26"/>
          <w:lang w:val="ro-RO"/>
        </w:rPr>
        <w:t>iei aver</w:t>
      </w:r>
      <w:r w:rsidR="00CB2151" w:rsidRPr="00324E58">
        <w:rPr>
          <w:rFonts w:asciiTheme="minorHAnsi" w:hAnsiTheme="minorHAnsi" w:cstheme="minorHAnsi"/>
          <w:b/>
          <w:sz w:val="26"/>
          <w:szCs w:val="26"/>
          <w:lang w:val="ro-RO"/>
        </w:rPr>
        <w:t>t</w:t>
      </w:r>
      <w:r w:rsidR="00AE0FD8" w:rsidRPr="00324E58">
        <w:rPr>
          <w:rFonts w:asciiTheme="minorHAnsi" w:hAnsiTheme="minorHAnsi" w:cstheme="minorHAnsi"/>
          <w:b/>
          <w:sz w:val="26"/>
          <w:szCs w:val="26"/>
          <w:lang w:val="ro-RO"/>
        </w:rPr>
        <w:t>i</w:t>
      </w:r>
      <w:r w:rsidR="00CB2151" w:rsidRPr="00324E58">
        <w:rPr>
          <w:rFonts w:asciiTheme="minorHAnsi" w:hAnsiTheme="minorHAnsi" w:cstheme="minorHAnsi"/>
          <w:b/>
          <w:sz w:val="26"/>
          <w:szCs w:val="26"/>
          <w:lang w:val="ro-RO"/>
        </w:rPr>
        <w:t>z</w:t>
      </w:r>
      <w:r w:rsidR="00AE0FD8" w:rsidRPr="00324E58">
        <w:rPr>
          <w:rFonts w:asciiTheme="minorHAnsi" w:hAnsiTheme="minorHAnsi" w:cstheme="minorHAnsi"/>
          <w:b/>
          <w:sz w:val="26"/>
          <w:szCs w:val="26"/>
          <w:lang w:val="ro-RO"/>
        </w:rPr>
        <w:t xml:space="preserve">orilor de integritate. </w:t>
      </w:r>
    </w:p>
    <w:p w:rsidR="00AE0FD8" w:rsidRPr="00324E58" w:rsidRDefault="00AE0FD8" w:rsidP="00324E58">
      <w:pPr>
        <w:jc w:val="both"/>
        <w:rPr>
          <w:rFonts w:asciiTheme="minorHAnsi" w:hAnsiTheme="minorHAnsi" w:cstheme="minorHAnsi"/>
          <w:sz w:val="26"/>
          <w:szCs w:val="26"/>
          <w:lang w:val="ro-RO"/>
        </w:rPr>
      </w:pPr>
    </w:p>
    <w:p w:rsidR="00AE0FD8" w:rsidRPr="00324E58" w:rsidRDefault="00AE0FD8" w:rsidP="00324E58">
      <w:pPr>
        <w:jc w:val="both"/>
        <w:rPr>
          <w:rFonts w:asciiTheme="minorHAnsi" w:hAnsiTheme="minorHAnsi" w:cstheme="minorHAnsi"/>
          <w:sz w:val="26"/>
          <w:szCs w:val="26"/>
          <w:lang w:val="ro-RO"/>
        </w:rPr>
      </w:pPr>
    </w:p>
    <w:p w:rsidR="00AE0FD8" w:rsidRPr="00324E58" w:rsidRDefault="002602E5" w:rsidP="00324E58">
      <w:pPr>
        <w:pStyle w:val="ListParagraph"/>
        <w:numPr>
          <w:ilvl w:val="0"/>
          <w:numId w:val="18"/>
        </w:numPr>
        <w:spacing w:after="0" w:line="240" w:lineRule="auto"/>
        <w:jc w:val="both"/>
        <w:rPr>
          <w:rFonts w:asciiTheme="minorHAnsi" w:hAnsiTheme="minorHAnsi" w:cstheme="minorHAnsi"/>
          <w:sz w:val="26"/>
          <w:szCs w:val="26"/>
          <w:lang w:val="ro-RO"/>
        </w:rPr>
      </w:pPr>
      <w:r w:rsidRPr="00324E58">
        <w:rPr>
          <w:rFonts w:asciiTheme="minorHAnsi" w:hAnsiTheme="minorHAnsi" w:cstheme="minorHAnsi"/>
          <w:sz w:val="26"/>
          <w:szCs w:val="26"/>
          <w:lang w:val="ro-RO"/>
        </w:rPr>
        <w:t>Ț</w:t>
      </w:r>
      <w:r w:rsidR="00CB2151" w:rsidRPr="00324E58">
        <w:rPr>
          <w:rFonts w:asciiTheme="minorHAnsi" w:hAnsiTheme="minorHAnsi" w:cstheme="minorHAnsi"/>
          <w:sz w:val="26"/>
          <w:szCs w:val="26"/>
          <w:lang w:val="ro-RO"/>
        </w:rPr>
        <w:t xml:space="preserve">inând cont de natura paneuropeană a CCBE, concluziile CCBE vor îmbrăca forma unei scrisori, mai curând de cea a unui răspuns la un chestionar. </w:t>
      </w:r>
    </w:p>
    <w:p w:rsidR="00CB2151" w:rsidRPr="00324E58" w:rsidRDefault="00CB2151" w:rsidP="00324E58">
      <w:pPr>
        <w:pStyle w:val="ListParagraph"/>
        <w:spacing w:after="0" w:line="240" w:lineRule="auto"/>
        <w:jc w:val="both"/>
        <w:rPr>
          <w:rFonts w:asciiTheme="minorHAnsi" w:hAnsiTheme="minorHAnsi" w:cstheme="minorHAnsi"/>
          <w:sz w:val="26"/>
          <w:szCs w:val="26"/>
          <w:lang w:val="ro-RO"/>
        </w:rPr>
      </w:pPr>
    </w:p>
    <w:p w:rsidR="00AE0FD8" w:rsidRPr="00324E58" w:rsidRDefault="00AE0FD8" w:rsidP="00324E58">
      <w:pPr>
        <w:pStyle w:val="ListParagraph"/>
        <w:numPr>
          <w:ilvl w:val="0"/>
          <w:numId w:val="18"/>
        </w:numPr>
        <w:spacing w:after="0" w:line="240" w:lineRule="auto"/>
        <w:jc w:val="both"/>
        <w:rPr>
          <w:rFonts w:asciiTheme="minorHAnsi" w:hAnsiTheme="minorHAnsi" w:cstheme="minorHAnsi"/>
          <w:sz w:val="26"/>
          <w:szCs w:val="26"/>
          <w:lang w:val="ro-RO"/>
        </w:rPr>
      </w:pPr>
      <w:r w:rsidRPr="00324E58">
        <w:rPr>
          <w:rFonts w:asciiTheme="minorHAnsi" w:hAnsiTheme="minorHAnsi" w:cstheme="minorHAnsi"/>
          <w:sz w:val="26"/>
          <w:szCs w:val="26"/>
          <w:lang w:val="ro-RO"/>
        </w:rPr>
        <w:t xml:space="preserve">CCBE </w:t>
      </w:r>
      <w:r w:rsidR="00CB2151" w:rsidRPr="00324E58">
        <w:rPr>
          <w:rFonts w:asciiTheme="minorHAnsi" w:hAnsiTheme="minorHAnsi" w:cstheme="minorHAnsi"/>
          <w:sz w:val="26"/>
          <w:szCs w:val="26"/>
          <w:lang w:val="ro-RO"/>
        </w:rPr>
        <w:t>nu inten</w:t>
      </w:r>
      <w:r w:rsidR="002602E5" w:rsidRPr="00324E58">
        <w:rPr>
          <w:rFonts w:asciiTheme="minorHAnsi" w:hAnsiTheme="minorHAnsi" w:cstheme="minorHAnsi"/>
          <w:sz w:val="26"/>
          <w:szCs w:val="26"/>
          <w:lang w:val="ro-RO"/>
        </w:rPr>
        <w:t>ț</w:t>
      </w:r>
      <w:r w:rsidR="00CB2151" w:rsidRPr="00324E58">
        <w:rPr>
          <w:rFonts w:asciiTheme="minorHAnsi" w:hAnsiTheme="minorHAnsi" w:cstheme="minorHAnsi"/>
          <w:sz w:val="26"/>
          <w:szCs w:val="26"/>
          <w:lang w:val="ro-RO"/>
        </w:rPr>
        <w:t>ionează să transmită comentariile sale la consultarea Comisiei Europene asupra avertizorilor de integritate la modul general, dar dore</w:t>
      </w:r>
      <w:r w:rsidR="002602E5" w:rsidRPr="00324E58">
        <w:rPr>
          <w:rFonts w:asciiTheme="minorHAnsi" w:hAnsiTheme="minorHAnsi" w:cstheme="minorHAnsi"/>
          <w:sz w:val="26"/>
          <w:szCs w:val="26"/>
          <w:lang w:val="ro-RO"/>
        </w:rPr>
        <w:t>ș</w:t>
      </w:r>
      <w:r w:rsidR="00CB2151" w:rsidRPr="00324E58">
        <w:rPr>
          <w:rFonts w:asciiTheme="minorHAnsi" w:hAnsiTheme="minorHAnsi" w:cstheme="minorHAnsi"/>
          <w:sz w:val="26"/>
          <w:szCs w:val="26"/>
          <w:lang w:val="ro-RO"/>
        </w:rPr>
        <w:t xml:space="preserve">te să </w:t>
      </w:r>
      <w:r w:rsidR="002602E5" w:rsidRPr="00324E58">
        <w:rPr>
          <w:rFonts w:asciiTheme="minorHAnsi" w:hAnsiTheme="minorHAnsi" w:cstheme="minorHAnsi"/>
          <w:sz w:val="26"/>
          <w:szCs w:val="26"/>
          <w:lang w:val="ro-RO"/>
        </w:rPr>
        <w:t>sublinieze</w:t>
      </w:r>
      <w:r w:rsidR="00CB2151" w:rsidRPr="00324E58">
        <w:rPr>
          <w:rFonts w:asciiTheme="minorHAnsi" w:hAnsiTheme="minorHAnsi" w:cstheme="minorHAnsi"/>
          <w:sz w:val="26"/>
          <w:szCs w:val="26"/>
          <w:lang w:val="ro-RO"/>
        </w:rPr>
        <w:t xml:space="preserve"> </w:t>
      </w:r>
      <w:r w:rsidR="00E0622E" w:rsidRPr="00324E58">
        <w:rPr>
          <w:rFonts w:asciiTheme="minorHAnsi" w:hAnsiTheme="minorHAnsi" w:cstheme="minorHAnsi"/>
          <w:sz w:val="26"/>
          <w:szCs w:val="26"/>
          <w:lang w:val="ro-RO"/>
        </w:rPr>
        <w:t>importan</w:t>
      </w:r>
      <w:r w:rsidR="002602E5" w:rsidRPr="00324E58">
        <w:rPr>
          <w:rFonts w:asciiTheme="minorHAnsi" w:hAnsiTheme="minorHAnsi" w:cstheme="minorHAnsi"/>
          <w:sz w:val="26"/>
          <w:szCs w:val="26"/>
          <w:lang w:val="ro-RO"/>
        </w:rPr>
        <w:t>ț</w:t>
      </w:r>
      <w:r w:rsidR="00E0622E" w:rsidRPr="00324E58">
        <w:rPr>
          <w:rFonts w:asciiTheme="minorHAnsi" w:hAnsiTheme="minorHAnsi" w:cstheme="minorHAnsi"/>
          <w:sz w:val="26"/>
          <w:szCs w:val="26"/>
          <w:lang w:val="ro-RO"/>
        </w:rPr>
        <w:t>a păstrării secretului profesional al avoca</w:t>
      </w:r>
      <w:r w:rsidR="002602E5" w:rsidRPr="00324E58">
        <w:rPr>
          <w:rFonts w:asciiTheme="minorHAnsi" w:hAnsiTheme="minorHAnsi" w:cstheme="minorHAnsi"/>
          <w:sz w:val="26"/>
          <w:szCs w:val="26"/>
          <w:lang w:val="ro-RO"/>
        </w:rPr>
        <w:t>ț</w:t>
      </w:r>
      <w:r w:rsidR="00E0622E" w:rsidRPr="00324E58">
        <w:rPr>
          <w:rFonts w:asciiTheme="minorHAnsi" w:hAnsiTheme="minorHAnsi" w:cstheme="minorHAnsi"/>
          <w:sz w:val="26"/>
          <w:szCs w:val="26"/>
          <w:lang w:val="ro-RO"/>
        </w:rPr>
        <w:t xml:space="preserve">ilor, care reprezintă o piatră de temelie a Statului de drept. </w:t>
      </w:r>
    </w:p>
    <w:p w:rsidR="00E0622E" w:rsidRPr="00324E58" w:rsidRDefault="00E0622E" w:rsidP="00324E58">
      <w:pPr>
        <w:pStyle w:val="ListParagraph"/>
        <w:spacing w:after="0" w:line="240" w:lineRule="auto"/>
        <w:jc w:val="both"/>
        <w:rPr>
          <w:rFonts w:asciiTheme="minorHAnsi" w:hAnsiTheme="minorHAnsi" w:cstheme="minorHAnsi"/>
          <w:sz w:val="26"/>
          <w:szCs w:val="26"/>
          <w:lang w:val="ro-RO"/>
        </w:rPr>
      </w:pPr>
    </w:p>
    <w:p w:rsidR="00AE0FD8" w:rsidRPr="00324E58" w:rsidRDefault="00AE0FD8" w:rsidP="00324E58">
      <w:pPr>
        <w:pStyle w:val="ListParagraph"/>
        <w:numPr>
          <w:ilvl w:val="0"/>
          <w:numId w:val="18"/>
        </w:numPr>
        <w:spacing w:after="0" w:line="240" w:lineRule="auto"/>
        <w:jc w:val="both"/>
        <w:rPr>
          <w:rFonts w:asciiTheme="minorHAnsi" w:hAnsiTheme="minorHAnsi" w:cstheme="minorHAnsi"/>
          <w:sz w:val="26"/>
          <w:szCs w:val="26"/>
          <w:lang w:val="ro-RO"/>
        </w:rPr>
      </w:pPr>
      <w:r w:rsidRPr="00324E58">
        <w:rPr>
          <w:rFonts w:asciiTheme="minorHAnsi" w:hAnsiTheme="minorHAnsi" w:cstheme="minorHAnsi"/>
          <w:sz w:val="26"/>
          <w:szCs w:val="26"/>
          <w:lang w:val="ro-RO"/>
        </w:rPr>
        <w:t>CCBE s</w:t>
      </w:r>
      <w:r w:rsidR="00E0622E" w:rsidRPr="00324E58">
        <w:rPr>
          <w:rFonts w:asciiTheme="minorHAnsi" w:hAnsiTheme="minorHAnsi" w:cstheme="minorHAnsi"/>
          <w:sz w:val="26"/>
          <w:szCs w:val="26"/>
          <w:lang w:val="ro-RO"/>
        </w:rPr>
        <w:t>us</w:t>
      </w:r>
      <w:r w:rsidR="002602E5" w:rsidRPr="00324E58">
        <w:rPr>
          <w:rFonts w:asciiTheme="minorHAnsi" w:hAnsiTheme="minorHAnsi" w:cstheme="minorHAnsi"/>
          <w:sz w:val="26"/>
          <w:szCs w:val="26"/>
          <w:lang w:val="ro-RO"/>
        </w:rPr>
        <w:t>ț</w:t>
      </w:r>
      <w:r w:rsidR="00E0622E" w:rsidRPr="00324E58">
        <w:rPr>
          <w:rFonts w:asciiTheme="minorHAnsi" w:hAnsiTheme="minorHAnsi" w:cstheme="minorHAnsi"/>
          <w:sz w:val="26"/>
          <w:szCs w:val="26"/>
          <w:lang w:val="ro-RO"/>
        </w:rPr>
        <w:t xml:space="preserve">ine, ca regulă generală, că persoanele care </w:t>
      </w:r>
      <w:r w:rsidR="00AC10EB" w:rsidRPr="00324E58">
        <w:rPr>
          <w:rFonts w:asciiTheme="minorHAnsi" w:hAnsiTheme="minorHAnsi" w:cstheme="minorHAnsi"/>
          <w:sz w:val="26"/>
          <w:szCs w:val="26"/>
          <w:lang w:val="ro-RO"/>
        </w:rPr>
        <w:t>dezvăluie informa</w:t>
      </w:r>
      <w:r w:rsidR="002602E5" w:rsidRPr="00324E58">
        <w:rPr>
          <w:rFonts w:asciiTheme="minorHAnsi" w:hAnsiTheme="minorHAnsi" w:cstheme="minorHAnsi"/>
          <w:sz w:val="26"/>
          <w:szCs w:val="26"/>
          <w:lang w:val="ro-RO"/>
        </w:rPr>
        <w:t>ț</w:t>
      </w:r>
      <w:r w:rsidR="00AC10EB" w:rsidRPr="00324E58">
        <w:rPr>
          <w:rFonts w:asciiTheme="minorHAnsi" w:hAnsiTheme="minorHAnsi" w:cstheme="minorHAnsi"/>
          <w:sz w:val="26"/>
          <w:szCs w:val="26"/>
          <w:lang w:val="ro-RO"/>
        </w:rPr>
        <w:t xml:space="preserve">ii din altruism </w:t>
      </w:r>
      <w:r w:rsidR="002602E5" w:rsidRPr="00324E58">
        <w:rPr>
          <w:rFonts w:asciiTheme="minorHAnsi" w:hAnsiTheme="minorHAnsi" w:cstheme="minorHAnsi"/>
          <w:sz w:val="26"/>
          <w:szCs w:val="26"/>
          <w:lang w:val="ro-RO"/>
        </w:rPr>
        <w:t>ș</w:t>
      </w:r>
      <w:r w:rsidR="00AC10EB" w:rsidRPr="00324E58">
        <w:rPr>
          <w:rFonts w:asciiTheme="minorHAnsi" w:hAnsiTheme="minorHAnsi" w:cstheme="minorHAnsi"/>
          <w:sz w:val="26"/>
          <w:szCs w:val="26"/>
          <w:lang w:val="ro-RO"/>
        </w:rPr>
        <w:t>i în interes general, trebuie protejate în munca lor, cu atât mai mult cu cât interesul general este mai important decât inconvenientele ocazionate de aceste dezvăluiri, cu condi</w:t>
      </w:r>
      <w:r w:rsidR="002602E5" w:rsidRPr="00324E58">
        <w:rPr>
          <w:rFonts w:asciiTheme="minorHAnsi" w:hAnsiTheme="minorHAnsi" w:cstheme="minorHAnsi"/>
          <w:sz w:val="26"/>
          <w:szCs w:val="26"/>
          <w:lang w:val="ro-RO"/>
        </w:rPr>
        <w:t>ț</w:t>
      </w:r>
      <w:r w:rsidR="00AC10EB" w:rsidRPr="00324E58">
        <w:rPr>
          <w:rFonts w:asciiTheme="minorHAnsi" w:hAnsiTheme="minorHAnsi" w:cstheme="minorHAnsi"/>
          <w:sz w:val="26"/>
          <w:szCs w:val="26"/>
          <w:lang w:val="ro-RO"/>
        </w:rPr>
        <w:t>ia ca ac</w:t>
      </w:r>
      <w:r w:rsidR="002602E5" w:rsidRPr="00324E58">
        <w:rPr>
          <w:rFonts w:asciiTheme="minorHAnsi" w:hAnsiTheme="minorHAnsi" w:cstheme="minorHAnsi"/>
          <w:sz w:val="26"/>
          <w:szCs w:val="26"/>
          <w:lang w:val="ro-RO"/>
        </w:rPr>
        <w:t>ț</w:t>
      </w:r>
      <w:r w:rsidR="00AC10EB" w:rsidRPr="00324E58">
        <w:rPr>
          <w:rFonts w:asciiTheme="minorHAnsi" w:hAnsiTheme="minorHAnsi" w:cstheme="minorHAnsi"/>
          <w:sz w:val="26"/>
          <w:szCs w:val="26"/>
          <w:lang w:val="ro-RO"/>
        </w:rPr>
        <w:t xml:space="preserve">iunile lor să aibă caracter legal. </w:t>
      </w:r>
    </w:p>
    <w:p w:rsidR="00AE0FD8" w:rsidRPr="00324E58" w:rsidRDefault="003D48E7" w:rsidP="00324E58">
      <w:pPr>
        <w:pStyle w:val="ListParagraph"/>
        <w:spacing w:after="0" w:line="240" w:lineRule="auto"/>
        <w:jc w:val="both"/>
        <w:rPr>
          <w:rFonts w:asciiTheme="minorHAnsi" w:hAnsiTheme="minorHAnsi" w:cstheme="minorHAnsi"/>
          <w:sz w:val="26"/>
          <w:szCs w:val="26"/>
          <w:lang w:val="ro-RO"/>
        </w:rPr>
      </w:pPr>
      <w:r w:rsidRPr="00324E58">
        <w:rPr>
          <w:rFonts w:asciiTheme="minorHAnsi" w:hAnsiTheme="minorHAnsi" w:cstheme="minorHAnsi"/>
          <w:sz w:val="26"/>
          <w:szCs w:val="26"/>
          <w:lang w:val="ro-RO"/>
        </w:rPr>
        <w:t>Interesul general al secretului profesional, care constituie o piatră de temelie a Statului de drept</w:t>
      </w:r>
      <w:r w:rsidR="00AE0FD8" w:rsidRPr="00324E58">
        <w:rPr>
          <w:rFonts w:asciiTheme="minorHAnsi" w:hAnsiTheme="minorHAnsi" w:cstheme="minorHAnsi"/>
          <w:sz w:val="26"/>
          <w:szCs w:val="26"/>
          <w:lang w:val="ro-RO"/>
        </w:rPr>
        <w:t>, n</w:t>
      </w:r>
      <w:r w:rsidRPr="00324E58">
        <w:rPr>
          <w:rFonts w:asciiTheme="minorHAnsi" w:hAnsiTheme="minorHAnsi" w:cstheme="minorHAnsi"/>
          <w:sz w:val="26"/>
          <w:szCs w:val="26"/>
          <w:lang w:val="ro-RO"/>
        </w:rPr>
        <w:t>u trebuie să sufere prejudicii în interesul protejării eforturilor</w:t>
      </w:r>
      <w:r w:rsidR="002602E5" w:rsidRPr="00324E58">
        <w:rPr>
          <w:rFonts w:asciiTheme="minorHAnsi" w:hAnsiTheme="minorHAnsi" w:cstheme="minorHAnsi"/>
          <w:sz w:val="26"/>
          <w:szCs w:val="26"/>
          <w:lang w:val="ro-RO"/>
        </w:rPr>
        <w:t xml:space="preserve"> </w:t>
      </w:r>
      <w:r w:rsidRPr="00324E58">
        <w:rPr>
          <w:rFonts w:asciiTheme="minorHAnsi" w:hAnsiTheme="minorHAnsi" w:cstheme="minorHAnsi"/>
          <w:sz w:val="26"/>
          <w:szCs w:val="26"/>
          <w:lang w:val="ro-RO"/>
        </w:rPr>
        <w:t>individuale împotriva lansării de alarm</w:t>
      </w:r>
      <w:r w:rsidR="00AE0FD8" w:rsidRPr="00324E58">
        <w:rPr>
          <w:rFonts w:asciiTheme="minorHAnsi" w:hAnsiTheme="minorHAnsi" w:cstheme="minorHAnsi"/>
          <w:sz w:val="26"/>
          <w:szCs w:val="26"/>
          <w:lang w:val="ro-RO"/>
        </w:rPr>
        <w:t>e</w:t>
      </w:r>
      <w:r w:rsidRPr="00324E58">
        <w:rPr>
          <w:rFonts w:asciiTheme="minorHAnsi" w:hAnsiTheme="minorHAnsi" w:cstheme="minorHAnsi"/>
          <w:sz w:val="26"/>
          <w:szCs w:val="26"/>
          <w:lang w:val="ro-RO"/>
        </w:rPr>
        <w:t>.</w:t>
      </w:r>
      <w:r w:rsidR="002602E5" w:rsidRPr="00324E58">
        <w:rPr>
          <w:rFonts w:asciiTheme="minorHAnsi" w:hAnsiTheme="minorHAnsi" w:cstheme="minorHAnsi"/>
          <w:sz w:val="26"/>
          <w:szCs w:val="26"/>
          <w:lang w:val="ro-RO"/>
        </w:rPr>
        <w:t xml:space="preserve"> </w:t>
      </w:r>
      <w:r w:rsidRPr="00324E58">
        <w:rPr>
          <w:rFonts w:asciiTheme="minorHAnsi" w:hAnsiTheme="minorHAnsi" w:cstheme="minorHAnsi"/>
          <w:sz w:val="26"/>
          <w:szCs w:val="26"/>
          <w:lang w:val="ro-RO"/>
        </w:rPr>
        <w:t>De altfel, CCBE face apel la Comisia Europeană ca în cazul în care o nouă legisla</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 xml:space="preserve">ie în materie este avută în vedere, </w:t>
      </w:r>
      <w:r w:rsidR="00A50289" w:rsidRPr="00324E58">
        <w:rPr>
          <w:rFonts w:asciiTheme="minorHAnsi" w:hAnsiTheme="minorHAnsi" w:cstheme="minorHAnsi"/>
          <w:sz w:val="26"/>
          <w:szCs w:val="26"/>
          <w:lang w:val="ro-RO"/>
        </w:rPr>
        <w:t>aceasta trebuie să con</w:t>
      </w:r>
      <w:r w:rsidR="002602E5" w:rsidRPr="00324E58">
        <w:rPr>
          <w:rFonts w:asciiTheme="minorHAnsi" w:hAnsiTheme="minorHAnsi" w:cstheme="minorHAnsi"/>
          <w:sz w:val="26"/>
          <w:szCs w:val="26"/>
          <w:lang w:val="ro-RO"/>
        </w:rPr>
        <w:t>ț</w:t>
      </w:r>
      <w:r w:rsidR="00A50289" w:rsidRPr="00324E58">
        <w:rPr>
          <w:rFonts w:asciiTheme="minorHAnsi" w:hAnsiTheme="minorHAnsi" w:cstheme="minorHAnsi"/>
          <w:sz w:val="26"/>
          <w:szCs w:val="26"/>
          <w:lang w:val="ro-RO"/>
        </w:rPr>
        <w:t>ină prevederi specifice care să împiedice, din ra</w:t>
      </w:r>
      <w:r w:rsidR="002602E5" w:rsidRPr="00324E58">
        <w:rPr>
          <w:rFonts w:asciiTheme="minorHAnsi" w:hAnsiTheme="minorHAnsi" w:cstheme="minorHAnsi"/>
          <w:sz w:val="26"/>
          <w:szCs w:val="26"/>
          <w:lang w:val="ro-RO"/>
        </w:rPr>
        <w:t>ț</w:t>
      </w:r>
      <w:r w:rsidR="00A50289" w:rsidRPr="00324E58">
        <w:rPr>
          <w:rFonts w:asciiTheme="minorHAnsi" w:hAnsiTheme="minorHAnsi" w:cstheme="minorHAnsi"/>
          <w:sz w:val="26"/>
          <w:szCs w:val="26"/>
          <w:lang w:val="ro-RO"/>
        </w:rPr>
        <w:t xml:space="preserve">iuni ce </w:t>
      </w:r>
      <w:r w:rsidR="002602E5" w:rsidRPr="00324E58">
        <w:rPr>
          <w:rFonts w:asciiTheme="minorHAnsi" w:hAnsiTheme="minorHAnsi" w:cstheme="minorHAnsi"/>
          <w:sz w:val="26"/>
          <w:szCs w:val="26"/>
          <w:lang w:val="ro-RO"/>
        </w:rPr>
        <w:t>ț</w:t>
      </w:r>
      <w:r w:rsidR="00A50289" w:rsidRPr="00324E58">
        <w:rPr>
          <w:rFonts w:asciiTheme="minorHAnsi" w:hAnsiTheme="minorHAnsi" w:cstheme="minorHAnsi"/>
          <w:sz w:val="26"/>
          <w:szCs w:val="26"/>
          <w:lang w:val="ro-RO"/>
        </w:rPr>
        <w:t>in de secretul profesional, ca informa</w:t>
      </w:r>
      <w:r w:rsidR="002602E5" w:rsidRPr="00324E58">
        <w:rPr>
          <w:rFonts w:asciiTheme="minorHAnsi" w:hAnsiTheme="minorHAnsi" w:cstheme="minorHAnsi"/>
          <w:sz w:val="26"/>
          <w:szCs w:val="26"/>
          <w:lang w:val="ro-RO"/>
        </w:rPr>
        <w:t>ț</w:t>
      </w:r>
      <w:r w:rsidR="00A50289" w:rsidRPr="00324E58">
        <w:rPr>
          <w:rFonts w:asciiTheme="minorHAnsi" w:hAnsiTheme="minorHAnsi" w:cstheme="minorHAnsi"/>
          <w:sz w:val="26"/>
          <w:szCs w:val="26"/>
          <w:lang w:val="ro-RO"/>
        </w:rPr>
        <w:t xml:space="preserve">iile protejate să fie dezvăluite. </w:t>
      </w:r>
    </w:p>
    <w:p w:rsidR="00AE0FD8" w:rsidRPr="00324E58" w:rsidRDefault="00AE0FD8" w:rsidP="00324E58">
      <w:pPr>
        <w:pStyle w:val="ListParagraph"/>
        <w:spacing w:after="0" w:line="240" w:lineRule="auto"/>
        <w:jc w:val="both"/>
        <w:rPr>
          <w:rFonts w:asciiTheme="minorHAnsi" w:hAnsiTheme="minorHAnsi" w:cstheme="minorHAnsi"/>
          <w:sz w:val="26"/>
          <w:szCs w:val="26"/>
          <w:lang w:val="ro-RO"/>
        </w:rPr>
      </w:pPr>
    </w:p>
    <w:p w:rsidR="003D48E7" w:rsidRPr="00324E58" w:rsidRDefault="00A50289" w:rsidP="00324E58">
      <w:pPr>
        <w:pStyle w:val="ListParagraph"/>
        <w:numPr>
          <w:ilvl w:val="0"/>
          <w:numId w:val="18"/>
        </w:numPr>
        <w:spacing w:after="0" w:line="240" w:lineRule="auto"/>
        <w:jc w:val="both"/>
        <w:rPr>
          <w:rFonts w:asciiTheme="minorHAnsi" w:hAnsiTheme="minorHAnsi" w:cstheme="minorHAnsi"/>
          <w:sz w:val="26"/>
          <w:szCs w:val="26"/>
          <w:lang w:val="ro-RO"/>
        </w:rPr>
      </w:pPr>
      <w:r w:rsidRPr="00324E58">
        <w:rPr>
          <w:rFonts w:asciiTheme="minorHAnsi" w:hAnsiTheme="minorHAnsi" w:cstheme="minorHAnsi"/>
          <w:sz w:val="26"/>
          <w:szCs w:val="26"/>
          <w:lang w:val="ro-RO"/>
        </w:rPr>
        <w:lastRenderedPageBreak/>
        <w:t>În cursul activită</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ii lor, este primordial pentru cabinetele avoca</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 xml:space="preserve">iale </w:t>
      </w:r>
      <w:r w:rsidR="002602E5" w:rsidRPr="00324E58">
        <w:rPr>
          <w:rFonts w:asciiTheme="minorHAnsi" w:hAnsiTheme="minorHAnsi" w:cstheme="minorHAnsi"/>
          <w:sz w:val="26"/>
          <w:szCs w:val="26"/>
          <w:lang w:val="ro-RO"/>
        </w:rPr>
        <w:t>ș</w:t>
      </w:r>
      <w:r w:rsidRPr="00324E58">
        <w:rPr>
          <w:rFonts w:asciiTheme="minorHAnsi" w:hAnsiTheme="minorHAnsi" w:cstheme="minorHAnsi"/>
          <w:sz w:val="26"/>
          <w:szCs w:val="26"/>
          <w:lang w:val="ro-RO"/>
        </w:rPr>
        <w:t xml:space="preserve">i personalul acestora, ca ele să fie în măsură să valorifice </w:t>
      </w:r>
      <w:r w:rsidR="002602E5" w:rsidRPr="00324E58">
        <w:rPr>
          <w:rFonts w:asciiTheme="minorHAnsi" w:hAnsiTheme="minorHAnsi" w:cstheme="minorHAnsi"/>
          <w:sz w:val="26"/>
          <w:szCs w:val="26"/>
          <w:lang w:val="ro-RO"/>
        </w:rPr>
        <w:t>ș</w:t>
      </w:r>
      <w:r w:rsidRPr="00324E58">
        <w:rPr>
          <w:rFonts w:asciiTheme="minorHAnsi" w:hAnsiTheme="minorHAnsi" w:cstheme="minorHAnsi"/>
          <w:sz w:val="26"/>
          <w:szCs w:val="26"/>
          <w:lang w:val="ro-RO"/>
        </w:rPr>
        <w:t>i să respecte secretul profesional, la care au dreptul clien</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 xml:space="preserve">ii lor </w:t>
      </w:r>
      <w:r w:rsidR="002602E5" w:rsidRPr="00324E58">
        <w:rPr>
          <w:rFonts w:asciiTheme="minorHAnsi" w:hAnsiTheme="minorHAnsi" w:cstheme="minorHAnsi"/>
          <w:sz w:val="26"/>
          <w:szCs w:val="26"/>
          <w:lang w:val="ro-RO"/>
        </w:rPr>
        <w:t>ș</w:t>
      </w:r>
      <w:r w:rsidRPr="00324E58">
        <w:rPr>
          <w:rFonts w:asciiTheme="minorHAnsi" w:hAnsiTheme="minorHAnsi" w:cstheme="minorHAnsi"/>
          <w:sz w:val="26"/>
          <w:szCs w:val="26"/>
          <w:lang w:val="ro-RO"/>
        </w:rPr>
        <w:t xml:space="preserve">i ei </w:t>
      </w:r>
      <w:r w:rsidR="002602E5" w:rsidRPr="00324E58">
        <w:rPr>
          <w:rFonts w:asciiTheme="minorHAnsi" w:hAnsiTheme="minorHAnsi" w:cstheme="minorHAnsi"/>
          <w:sz w:val="26"/>
          <w:szCs w:val="26"/>
          <w:lang w:val="ro-RO"/>
        </w:rPr>
        <w:t>înșiși</w:t>
      </w:r>
      <w:r w:rsidRPr="00324E58">
        <w:rPr>
          <w:rFonts w:asciiTheme="minorHAnsi" w:hAnsiTheme="minorHAnsi" w:cstheme="minorHAnsi"/>
          <w:sz w:val="26"/>
          <w:szCs w:val="26"/>
          <w:lang w:val="ro-RO"/>
        </w:rPr>
        <w:t>. În numeroase state europene, secretul profesional reprezintă o obliga</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 xml:space="preserve">ie </w:t>
      </w:r>
      <w:r w:rsidR="002602E5" w:rsidRPr="00324E58">
        <w:rPr>
          <w:rFonts w:asciiTheme="minorHAnsi" w:hAnsiTheme="minorHAnsi" w:cstheme="minorHAnsi"/>
          <w:sz w:val="26"/>
          <w:szCs w:val="26"/>
          <w:lang w:val="ro-RO"/>
        </w:rPr>
        <w:t>ș</w:t>
      </w:r>
      <w:r w:rsidRPr="00324E58">
        <w:rPr>
          <w:rFonts w:asciiTheme="minorHAnsi" w:hAnsiTheme="minorHAnsi" w:cstheme="minorHAnsi"/>
          <w:sz w:val="26"/>
          <w:szCs w:val="26"/>
          <w:lang w:val="ro-RO"/>
        </w:rPr>
        <w:t>i este supusă sanc</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iunilor prevăzute în legisla</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 xml:space="preserve">ia penală. </w:t>
      </w:r>
    </w:p>
    <w:p w:rsidR="00A50289" w:rsidRPr="00324E58" w:rsidRDefault="00A50289" w:rsidP="00324E58">
      <w:pPr>
        <w:pStyle w:val="ListParagraph"/>
        <w:spacing w:after="0" w:line="240" w:lineRule="auto"/>
        <w:jc w:val="both"/>
        <w:rPr>
          <w:rFonts w:asciiTheme="minorHAnsi" w:hAnsiTheme="minorHAnsi" w:cstheme="minorHAnsi"/>
          <w:sz w:val="26"/>
          <w:szCs w:val="26"/>
          <w:lang w:val="ro-RO"/>
        </w:rPr>
      </w:pPr>
    </w:p>
    <w:p w:rsidR="00F421B1" w:rsidRPr="00324E58" w:rsidRDefault="00A50289" w:rsidP="00324E58">
      <w:pPr>
        <w:pStyle w:val="ListParagraph"/>
        <w:numPr>
          <w:ilvl w:val="0"/>
          <w:numId w:val="18"/>
        </w:numPr>
        <w:spacing w:after="0" w:line="240" w:lineRule="auto"/>
        <w:jc w:val="both"/>
        <w:rPr>
          <w:rFonts w:asciiTheme="minorHAnsi" w:hAnsiTheme="minorHAnsi" w:cstheme="minorHAnsi"/>
          <w:sz w:val="26"/>
          <w:szCs w:val="26"/>
          <w:lang w:val="ro-RO"/>
        </w:rPr>
      </w:pPr>
      <w:r w:rsidRPr="00324E58">
        <w:rPr>
          <w:rFonts w:asciiTheme="minorHAnsi" w:hAnsiTheme="minorHAnsi" w:cstheme="minorHAnsi"/>
          <w:sz w:val="26"/>
          <w:szCs w:val="26"/>
          <w:lang w:val="ro-RO"/>
        </w:rPr>
        <w:t>În absen</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a secretului profesional, dreptul cetă</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enilor de a beneficia de servicii</w:t>
      </w:r>
      <w:r w:rsidR="00F421B1" w:rsidRPr="00324E58">
        <w:rPr>
          <w:rFonts w:asciiTheme="minorHAnsi" w:hAnsiTheme="minorHAnsi" w:cstheme="minorHAnsi"/>
          <w:sz w:val="26"/>
          <w:szCs w:val="26"/>
          <w:lang w:val="ro-RO"/>
        </w:rPr>
        <w:t>, asisten</w:t>
      </w:r>
      <w:r w:rsidR="002602E5" w:rsidRPr="00324E58">
        <w:rPr>
          <w:rFonts w:asciiTheme="minorHAnsi" w:hAnsiTheme="minorHAnsi" w:cstheme="minorHAnsi"/>
          <w:sz w:val="26"/>
          <w:szCs w:val="26"/>
          <w:lang w:val="ro-RO"/>
        </w:rPr>
        <w:t>ț</w:t>
      </w:r>
      <w:r w:rsidR="00F421B1" w:rsidRPr="00324E58">
        <w:rPr>
          <w:rFonts w:asciiTheme="minorHAnsi" w:hAnsiTheme="minorHAnsi" w:cstheme="minorHAnsi"/>
          <w:sz w:val="26"/>
          <w:szCs w:val="26"/>
          <w:lang w:val="ro-RO"/>
        </w:rPr>
        <w:t xml:space="preserve">ă </w:t>
      </w:r>
      <w:r w:rsidR="002602E5" w:rsidRPr="00324E58">
        <w:rPr>
          <w:rFonts w:asciiTheme="minorHAnsi" w:hAnsiTheme="minorHAnsi" w:cstheme="minorHAnsi"/>
          <w:sz w:val="26"/>
          <w:szCs w:val="26"/>
          <w:lang w:val="ro-RO"/>
        </w:rPr>
        <w:t>ș</w:t>
      </w:r>
      <w:r w:rsidR="00F421B1" w:rsidRPr="00324E58">
        <w:rPr>
          <w:rFonts w:asciiTheme="minorHAnsi" w:hAnsiTheme="minorHAnsi" w:cstheme="minorHAnsi"/>
          <w:sz w:val="26"/>
          <w:szCs w:val="26"/>
          <w:lang w:val="ro-RO"/>
        </w:rPr>
        <w:t xml:space="preserve">i reprezentare juridică, precum </w:t>
      </w:r>
      <w:r w:rsidR="002602E5" w:rsidRPr="00324E58">
        <w:rPr>
          <w:rFonts w:asciiTheme="minorHAnsi" w:hAnsiTheme="minorHAnsi" w:cstheme="minorHAnsi"/>
          <w:sz w:val="26"/>
          <w:szCs w:val="26"/>
          <w:lang w:val="ro-RO"/>
        </w:rPr>
        <w:t>ș</w:t>
      </w:r>
      <w:r w:rsidR="00F421B1" w:rsidRPr="00324E58">
        <w:rPr>
          <w:rFonts w:asciiTheme="minorHAnsi" w:hAnsiTheme="minorHAnsi" w:cstheme="minorHAnsi"/>
          <w:sz w:val="26"/>
          <w:szCs w:val="26"/>
          <w:lang w:val="ro-RO"/>
        </w:rPr>
        <w:t>i dreptul avoca</w:t>
      </w:r>
      <w:r w:rsidR="002602E5" w:rsidRPr="00324E58">
        <w:rPr>
          <w:rFonts w:asciiTheme="minorHAnsi" w:hAnsiTheme="minorHAnsi" w:cstheme="minorHAnsi"/>
          <w:sz w:val="26"/>
          <w:szCs w:val="26"/>
          <w:lang w:val="ro-RO"/>
        </w:rPr>
        <w:t>ț</w:t>
      </w:r>
      <w:r w:rsidR="00F421B1" w:rsidRPr="00324E58">
        <w:rPr>
          <w:rFonts w:asciiTheme="minorHAnsi" w:hAnsiTheme="minorHAnsi" w:cstheme="minorHAnsi"/>
          <w:sz w:val="26"/>
          <w:szCs w:val="26"/>
          <w:lang w:val="ro-RO"/>
        </w:rPr>
        <w:t>ilor de a nu fi asimila</w:t>
      </w:r>
      <w:r w:rsidR="002602E5" w:rsidRPr="00324E58">
        <w:rPr>
          <w:rFonts w:asciiTheme="minorHAnsi" w:hAnsiTheme="minorHAnsi" w:cstheme="minorHAnsi"/>
          <w:sz w:val="26"/>
          <w:szCs w:val="26"/>
          <w:lang w:val="ro-RO"/>
        </w:rPr>
        <w:t>ț</w:t>
      </w:r>
      <w:r w:rsidR="00F421B1" w:rsidRPr="00324E58">
        <w:rPr>
          <w:rFonts w:asciiTheme="minorHAnsi" w:hAnsiTheme="minorHAnsi" w:cstheme="minorHAnsi"/>
          <w:sz w:val="26"/>
          <w:szCs w:val="26"/>
          <w:lang w:val="ro-RO"/>
        </w:rPr>
        <w:t>i clientului lor, nu ar beneficia de o protec</w:t>
      </w:r>
      <w:r w:rsidR="002602E5" w:rsidRPr="00324E58">
        <w:rPr>
          <w:rFonts w:asciiTheme="minorHAnsi" w:hAnsiTheme="minorHAnsi" w:cstheme="minorHAnsi"/>
          <w:sz w:val="26"/>
          <w:szCs w:val="26"/>
          <w:lang w:val="ro-RO"/>
        </w:rPr>
        <w:t>ț</w:t>
      </w:r>
      <w:r w:rsidR="00F421B1" w:rsidRPr="00324E58">
        <w:rPr>
          <w:rFonts w:asciiTheme="minorHAnsi" w:hAnsiTheme="minorHAnsi" w:cstheme="minorHAnsi"/>
          <w:sz w:val="26"/>
          <w:szCs w:val="26"/>
          <w:lang w:val="ro-RO"/>
        </w:rPr>
        <w:t>ie corectă împotriva ingerin</w:t>
      </w:r>
      <w:r w:rsidR="002602E5" w:rsidRPr="00324E58">
        <w:rPr>
          <w:rFonts w:asciiTheme="minorHAnsi" w:hAnsiTheme="minorHAnsi" w:cstheme="minorHAnsi"/>
          <w:sz w:val="26"/>
          <w:szCs w:val="26"/>
          <w:lang w:val="ro-RO"/>
        </w:rPr>
        <w:t>ț</w:t>
      </w:r>
      <w:r w:rsidR="00F421B1" w:rsidRPr="00324E58">
        <w:rPr>
          <w:rFonts w:asciiTheme="minorHAnsi" w:hAnsiTheme="minorHAnsi" w:cstheme="minorHAnsi"/>
          <w:sz w:val="26"/>
          <w:szCs w:val="26"/>
          <w:lang w:val="ro-RO"/>
        </w:rPr>
        <w:t>elor nejustificate ale Statului.</w:t>
      </w:r>
      <w:r w:rsidR="002602E5" w:rsidRPr="00324E58">
        <w:rPr>
          <w:rFonts w:asciiTheme="minorHAnsi" w:hAnsiTheme="minorHAnsi" w:cstheme="minorHAnsi"/>
          <w:sz w:val="26"/>
          <w:szCs w:val="26"/>
          <w:lang w:val="ro-RO"/>
        </w:rPr>
        <w:t xml:space="preserve"> </w:t>
      </w:r>
    </w:p>
    <w:p w:rsidR="00F421B1" w:rsidRPr="00324E58" w:rsidRDefault="00F421B1" w:rsidP="00324E58">
      <w:pPr>
        <w:pStyle w:val="ListParagraph"/>
        <w:spacing w:after="0" w:line="240" w:lineRule="auto"/>
        <w:jc w:val="both"/>
        <w:rPr>
          <w:rFonts w:asciiTheme="minorHAnsi" w:hAnsiTheme="minorHAnsi" w:cstheme="minorHAnsi"/>
          <w:sz w:val="26"/>
          <w:szCs w:val="26"/>
          <w:lang w:val="ro-RO"/>
        </w:rPr>
      </w:pPr>
    </w:p>
    <w:p w:rsidR="00900729" w:rsidRPr="00324E58" w:rsidRDefault="00F421B1" w:rsidP="00324E58">
      <w:pPr>
        <w:pStyle w:val="ListParagraph"/>
        <w:numPr>
          <w:ilvl w:val="0"/>
          <w:numId w:val="18"/>
        </w:numPr>
        <w:spacing w:after="0" w:line="240" w:lineRule="auto"/>
        <w:jc w:val="both"/>
        <w:rPr>
          <w:rFonts w:asciiTheme="minorHAnsi" w:hAnsiTheme="minorHAnsi" w:cstheme="minorHAnsi"/>
          <w:sz w:val="26"/>
          <w:szCs w:val="26"/>
          <w:lang w:val="ro-RO"/>
        </w:rPr>
      </w:pPr>
      <w:r w:rsidRPr="00324E58">
        <w:rPr>
          <w:rFonts w:asciiTheme="minorHAnsi" w:hAnsiTheme="minorHAnsi" w:cstheme="minorHAnsi"/>
          <w:sz w:val="26"/>
          <w:szCs w:val="26"/>
          <w:lang w:val="ro-RO"/>
        </w:rPr>
        <w:t>Este important de re</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 xml:space="preserve">inut că secretul profesional nu poate fi utilizat în scopuri ce </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in de protec</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ia sau disimularea ilegalită</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 xml:space="preserve">ilor </w:t>
      </w:r>
      <w:r w:rsidR="002602E5" w:rsidRPr="00324E58">
        <w:rPr>
          <w:rFonts w:asciiTheme="minorHAnsi" w:hAnsiTheme="minorHAnsi" w:cstheme="minorHAnsi"/>
          <w:sz w:val="26"/>
          <w:szCs w:val="26"/>
          <w:lang w:val="ro-RO"/>
        </w:rPr>
        <w:t>ș</w:t>
      </w:r>
      <w:r w:rsidRPr="00324E58">
        <w:rPr>
          <w:rFonts w:asciiTheme="minorHAnsi" w:hAnsiTheme="minorHAnsi" w:cstheme="minorHAnsi"/>
          <w:sz w:val="26"/>
          <w:szCs w:val="26"/>
          <w:lang w:val="ro-RO"/>
        </w:rPr>
        <w:t xml:space="preserve">i nici în scopul eludării legii. </w:t>
      </w:r>
    </w:p>
    <w:p w:rsidR="00900729" w:rsidRPr="00324E58" w:rsidRDefault="00900729" w:rsidP="00324E58">
      <w:pPr>
        <w:jc w:val="both"/>
        <w:rPr>
          <w:rFonts w:asciiTheme="minorHAnsi" w:hAnsiTheme="minorHAnsi" w:cstheme="minorHAnsi"/>
          <w:sz w:val="26"/>
          <w:szCs w:val="26"/>
          <w:lang w:val="ro-RO"/>
        </w:rPr>
      </w:pPr>
    </w:p>
    <w:p w:rsidR="00900729" w:rsidRPr="00324E58" w:rsidRDefault="00900729" w:rsidP="00324E58">
      <w:pPr>
        <w:jc w:val="both"/>
        <w:rPr>
          <w:rFonts w:asciiTheme="minorHAnsi" w:hAnsiTheme="minorHAnsi" w:cstheme="minorHAnsi"/>
          <w:sz w:val="26"/>
          <w:szCs w:val="26"/>
          <w:lang w:val="ro-RO"/>
        </w:rPr>
      </w:pPr>
    </w:p>
    <w:p w:rsidR="00155CDC" w:rsidRPr="00324E58" w:rsidRDefault="00155CDC" w:rsidP="00324E58">
      <w:pPr>
        <w:ind w:left="100"/>
        <w:rPr>
          <w:rFonts w:asciiTheme="minorHAnsi" w:hAnsiTheme="minorHAnsi" w:cstheme="minorHAnsi"/>
          <w:b/>
          <w:sz w:val="26"/>
          <w:szCs w:val="26"/>
          <w:lang w:val="ro-RO"/>
        </w:rPr>
      </w:pPr>
    </w:p>
    <w:p w:rsidR="00155CDC" w:rsidRPr="00324E58" w:rsidRDefault="00155CDC" w:rsidP="00324E58">
      <w:pPr>
        <w:rPr>
          <w:rFonts w:asciiTheme="minorHAnsi" w:hAnsiTheme="minorHAnsi" w:cstheme="minorHAnsi"/>
          <w:sz w:val="26"/>
          <w:szCs w:val="26"/>
          <w:lang w:val="ro-RO"/>
        </w:rPr>
      </w:pPr>
    </w:p>
    <w:p w:rsidR="00155CDC" w:rsidRPr="00324E58" w:rsidRDefault="00324E58" w:rsidP="00324E58">
      <w:pPr>
        <w:ind w:left="260"/>
        <w:jc w:val="both"/>
        <w:rPr>
          <w:rFonts w:asciiTheme="minorHAnsi" w:hAnsiTheme="minorHAnsi" w:cstheme="minorHAnsi"/>
          <w:b/>
          <w:sz w:val="26"/>
          <w:szCs w:val="26"/>
          <w:lang w:val="ro-RO"/>
        </w:rPr>
      </w:pPr>
      <w:r w:rsidRPr="00324E58">
        <w:rPr>
          <w:rFonts w:asciiTheme="minorHAnsi" w:hAnsiTheme="minorHAnsi" w:cstheme="minorHAnsi"/>
          <w:b/>
          <w:sz w:val="26"/>
          <w:szCs w:val="26"/>
          <w:lang w:val="ro-RO"/>
        </w:rPr>
        <w:t>3</w:t>
      </w:r>
      <w:r w:rsidR="00155CDC" w:rsidRPr="00324E58">
        <w:rPr>
          <w:rFonts w:asciiTheme="minorHAnsi" w:hAnsiTheme="minorHAnsi" w:cstheme="minorHAnsi"/>
          <w:b/>
          <w:sz w:val="26"/>
          <w:szCs w:val="26"/>
          <w:lang w:val="ro-RO"/>
        </w:rPr>
        <w:t>.</w:t>
      </w:r>
      <w:r w:rsidR="002602E5" w:rsidRPr="00324E58">
        <w:rPr>
          <w:rFonts w:asciiTheme="minorHAnsi" w:hAnsiTheme="minorHAnsi" w:cstheme="minorHAnsi"/>
          <w:b/>
          <w:sz w:val="26"/>
          <w:szCs w:val="26"/>
          <w:lang w:val="ro-RO"/>
        </w:rPr>
        <w:t xml:space="preserve"> </w:t>
      </w:r>
      <w:r w:rsidR="00155CDC" w:rsidRPr="00324E58">
        <w:rPr>
          <w:rFonts w:asciiTheme="minorHAnsi" w:hAnsiTheme="minorHAnsi" w:cstheme="minorHAnsi"/>
          <w:b/>
          <w:sz w:val="26"/>
          <w:szCs w:val="26"/>
          <w:lang w:val="ro-RO"/>
        </w:rPr>
        <w:t>PROIECT AL RĂSPUNSULUI CCBE REFERITOR LA PROPUNEREA DE REGULAMENT ASUPRA RECUNOA</w:t>
      </w:r>
      <w:r w:rsidR="002602E5" w:rsidRPr="00324E58">
        <w:rPr>
          <w:rFonts w:asciiTheme="minorHAnsi" w:hAnsiTheme="minorHAnsi" w:cstheme="minorHAnsi"/>
          <w:b/>
          <w:sz w:val="26"/>
          <w:szCs w:val="26"/>
          <w:lang w:val="ro-RO"/>
        </w:rPr>
        <w:t>Ș</w:t>
      </w:r>
      <w:r w:rsidR="00155CDC" w:rsidRPr="00324E58">
        <w:rPr>
          <w:rFonts w:asciiTheme="minorHAnsi" w:hAnsiTheme="minorHAnsi" w:cstheme="minorHAnsi"/>
          <w:b/>
          <w:sz w:val="26"/>
          <w:szCs w:val="26"/>
          <w:lang w:val="ro-RO"/>
        </w:rPr>
        <w:t>TERII RECIPROCE A DECIZIILOR DE SECHESTRU ORI DE CONFISCARE</w:t>
      </w:r>
    </w:p>
    <w:p w:rsidR="00155CDC" w:rsidRPr="00324E58" w:rsidRDefault="00155CDC" w:rsidP="00324E58">
      <w:pPr>
        <w:ind w:left="100" w:right="20"/>
        <w:jc w:val="both"/>
        <w:rPr>
          <w:rFonts w:asciiTheme="minorHAnsi" w:hAnsiTheme="minorHAnsi" w:cstheme="minorHAnsi"/>
          <w:sz w:val="26"/>
          <w:szCs w:val="26"/>
          <w:lang w:val="ro-RO"/>
        </w:rPr>
      </w:pPr>
    </w:p>
    <w:p w:rsidR="00155CDC" w:rsidRPr="00324E58" w:rsidRDefault="00155CDC" w:rsidP="00324E58">
      <w:pPr>
        <w:ind w:left="100" w:right="20"/>
        <w:jc w:val="both"/>
        <w:rPr>
          <w:rFonts w:asciiTheme="minorHAnsi" w:hAnsiTheme="minorHAnsi" w:cstheme="minorHAnsi"/>
          <w:sz w:val="26"/>
          <w:szCs w:val="26"/>
          <w:lang w:val="ro-RO"/>
        </w:rPr>
      </w:pPr>
    </w:p>
    <w:p w:rsidR="00155CDC" w:rsidRPr="00324E58" w:rsidRDefault="00155CDC" w:rsidP="00324E58">
      <w:pPr>
        <w:ind w:left="100" w:right="20"/>
        <w:jc w:val="both"/>
        <w:rPr>
          <w:rFonts w:asciiTheme="minorHAnsi" w:hAnsiTheme="minorHAnsi" w:cstheme="minorHAnsi"/>
          <w:sz w:val="26"/>
          <w:szCs w:val="26"/>
          <w:lang w:val="ro-RO"/>
        </w:rPr>
      </w:pPr>
      <w:r w:rsidRPr="00324E58">
        <w:rPr>
          <w:rFonts w:asciiTheme="minorHAnsi" w:hAnsiTheme="minorHAnsi" w:cstheme="minorHAnsi"/>
          <w:sz w:val="26"/>
          <w:szCs w:val="26"/>
          <w:lang w:val="ro-RO"/>
        </w:rPr>
        <w:t>CCBE apreciază ini</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iativa adoptării unei legisla</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 xml:space="preserve">ii coordonate în materia deciziilor de sechestru </w:t>
      </w:r>
      <w:r w:rsidR="002602E5" w:rsidRPr="00324E58">
        <w:rPr>
          <w:rFonts w:asciiTheme="minorHAnsi" w:hAnsiTheme="minorHAnsi" w:cstheme="minorHAnsi"/>
          <w:sz w:val="26"/>
          <w:szCs w:val="26"/>
          <w:lang w:val="ro-RO"/>
        </w:rPr>
        <w:t>ș</w:t>
      </w:r>
      <w:r w:rsidRPr="00324E58">
        <w:rPr>
          <w:rFonts w:asciiTheme="minorHAnsi" w:hAnsiTheme="minorHAnsi" w:cstheme="minorHAnsi"/>
          <w:sz w:val="26"/>
          <w:szCs w:val="26"/>
          <w:lang w:val="ro-RO"/>
        </w:rPr>
        <w:t>i de confiscare. Confiscarea obiectelor provenite din ac</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iuni infrac</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 xml:space="preserve">ionale constituie o </w:t>
      </w:r>
      <w:r w:rsidR="002602E5" w:rsidRPr="00324E58">
        <w:rPr>
          <w:rFonts w:asciiTheme="minorHAnsi" w:hAnsiTheme="minorHAnsi" w:cstheme="minorHAnsi"/>
          <w:sz w:val="26"/>
          <w:szCs w:val="26"/>
          <w:lang w:val="ro-RO"/>
        </w:rPr>
        <w:t>măsură</w:t>
      </w:r>
      <w:r w:rsidRPr="00324E58">
        <w:rPr>
          <w:rFonts w:asciiTheme="minorHAnsi" w:hAnsiTheme="minorHAnsi" w:cstheme="minorHAnsi"/>
          <w:sz w:val="26"/>
          <w:szCs w:val="26"/>
          <w:lang w:val="ro-RO"/>
        </w:rPr>
        <w:t xml:space="preserve"> importantă în lupta împotriva </w:t>
      </w:r>
      <w:r w:rsidR="002602E5" w:rsidRPr="00324E58">
        <w:rPr>
          <w:rFonts w:asciiTheme="minorHAnsi" w:hAnsiTheme="minorHAnsi" w:cstheme="minorHAnsi"/>
          <w:sz w:val="26"/>
          <w:szCs w:val="26"/>
          <w:lang w:val="ro-RO"/>
        </w:rPr>
        <w:t>criminalității</w:t>
      </w:r>
      <w:r w:rsidRPr="00324E58">
        <w:rPr>
          <w:rFonts w:asciiTheme="minorHAnsi" w:hAnsiTheme="minorHAnsi" w:cstheme="minorHAnsi"/>
          <w:sz w:val="26"/>
          <w:szCs w:val="26"/>
          <w:lang w:val="ro-RO"/>
        </w:rPr>
        <w:t xml:space="preserve">. Totodată, aceste măsuri se pot dovedi deosebit de intrusive </w:t>
      </w:r>
      <w:r w:rsidR="002602E5" w:rsidRPr="00324E58">
        <w:rPr>
          <w:rFonts w:asciiTheme="minorHAnsi" w:hAnsiTheme="minorHAnsi" w:cstheme="minorHAnsi"/>
          <w:sz w:val="26"/>
          <w:szCs w:val="26"/>
          <w:lang w:val="ro-RO"/>
        </w:rPr>
        <w:t>ș</w:t>
      </w:r>
      <w:r w:rsidRPr="00324E58">
        <w:rPr>
          <w:rFonts w:asciiTheme="minorHAnsi" w:hAnsiTheme="minorHAnsi" w:cstheme="minorHAnsi"/>
          <w:sz w:val="26"/>
          <w:szCs w:val="26"/>
          <w:lang w:val="ro-RO"/>
        </w:rPr>
        <w:t>i, de aceea, este necesar să se asigure, cu maximă urgen</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ă, garan</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ii procedurale eficace în proceduri transfrontaliere.</w:t>
      </w:r>
    </w:p>
    <w:p w:rsidR="00155CDC" w:rsidRPr="00324E58" w:rsidRDefault="00155CDC" w:rsidP="00324E58">
      <w:pPr>
        <w:rPr>
          <w:rFonts w:asciiTheme="minorHAnsi" w:hAnsiTheme="minorHAnsi" w:cstheme="minorHAnsi"/>
          <w:sz w:val="26"/>
          <w:szCs w:val="26"/>
          <w:lang w:val="ro-RO"/>
        </w:rPr>
      </w:pPr>
    </w:p>
    <w:p w:rsidR="00155CDC" w:rsidRPr="00324E58" w:rsidRDefault="002602E5" w:rsidP="00324E58">
      <w:pPr>
        <w:ind w:left="100" w:right="20"/>
        <w:jc w:val="both"/>
        <w:rPr>
          <w:rFonts w:asciiTheme="minorHAnsi" w:hAnsiTheme="minorHAnsi" w:cstheme="minorHAnsi"/>
          <w:sz w:val="26"/>
          <w:szCs w:val="26"/>
          <w:lang w:val="ro-RO"/>
        </w:rPr>
      </w:pPr>
      <w:r w:rsidRPr="00324E58">
        <w:rPr>
          <w:rFonts w:asciiTheme="minorHAnsi" w:hAnsiTheme="minorHAnsi" w:cstheme="minorHAnsi"/>
          <w:sz w:val="26"/>
          <w:szCs w:val="26"/>
          <w:lang w:val="ro-RO"/>
        </w:rPr>
        <w:t>Ț</w:t>
      </w:r>
      <w:r w:rsidR="00155CDC" w:rsidRPr="00324E58">
        <w:rPr>
          <w:rFonts w:asciiTheme="minorHAnsi" w:hAnsiTheme="minorHAnsi" w:cstheme="minorHAnsi"/>
          <w:sz w:val="26"/>
          <w:szCs w:val="26"/>
          <w:lang w:val="ro-RO"/>
        </w:rPr>
        <w:t>inând cont de faptul că Statele membre pot pune în aplicare garan</w:t>
      </w:r>
      <w:r w:rsidRPr="00324E58">
        <w:rPr>
          <w:rFonts w:asciiTheme="minorHAnsi" w:hAnsiTheme="minorHAnsi" w:cstheme="minorHAnsi"/>
          <w:sz w:val="26"/>
          <w:szCs w:val="26"/>
          <w:lang w:val="ro-RO"/>
        </w:rPr>
        <w:t>ț</w:t>
      </w:r>
      <w:r w:rsidR="00155CDC" w:rsidRPr="00324E58">
        <w:rPr>
          <w:rFonts w:asciiTheme="minorHAnsi" w:hAnsiTheme="minorHAnsi" w:cstheme="minorHAnsi"/>
          <w:sz w:val="26"/>
          <w:szCs w:val="26"/>
          <w:lang w:val="ro-RO"/>
        </w:rPr>
        <w:t xml:space="preserve">ii procedurale în diferite stadii ale procedurilor </w:t>
      </w:r>
      <w:r w:rsidRPr="00324E58">
        <w:rPr>
          <w:rFonts w:asciiTheme="minorHAnsi" w:hAnsiTheme="minorHAnsi" w:cstheme="minorHAnsi"/>
          <w:sz w:val="26"/>
          <w:szCs w:val="26"/>
          <w:lang w:val="ro-RO"/>
        </w:rPr>
        <w:t>ș</w:t>
      </w:r>
      <w:r w:rsidR="00155CDC" w:rsidRPr="00324E58">
        <w:rPr>
          <w:rFonts w:asciiTheme="minorHAnsi" w:hAnsiTheme="minorHAnsi" w:cstheme="minorHAnsi"/>
          <w:sz w:val="26"/>
          <w:szCs w:val="26"/>
          <w:lang w:val="ro-RO"/>
        </w:rPr>
        <w:t>i în diferite forme, est important de a proceda de a</w:t>
      </w:r>
      <w:r w:rsidRPr="00324E58">
        <w:rPr>
          <w:rFonts w:asciiTheme="minorHAnsi" w:hAnsiTheme="minorHAnsi" w:cstheme="minorHAnsi"/>
          <w:sz w:val="26"/>
          <w:szCs w:val="26"/>
          <w:lang w:val="ro-RO"/>
        </w:rPr>
        <w:t>ș</w:t>
      </w:r>
      <w:r w:rsidR="00155CDC" w:rsidRPr="00324E58">
        <w:rPr>
          <w:rFonts w:asciiTheme="minorHAnsi" w:hAnsiTheme="minorHAnsi" w:cstheme="minorHAnsi"/>
          <w:sz w:val="26"/>
          <w:szCs w:val="26"/>
          <w:lang w:val="ro-RO"/>
        </w:rPr>
        <w:t xml:space="preserve">a </w:t>
      </w:r>
      <w:r w:rsidRPr="00324E58">
        <w:rPr>
          <w:rFonts w:asciiTheme="minorHAnsi" w:hAnsiTheme="minorHAnsi" w:cstheme="minorHAnsi"/>
          <w:sz w:val="26"/>
          <w:szCs w:val="26"/>
          <w:lang w:val="ro-RO"/>
        </w:rPr>
        <w:t>manieră</w:t>
      </w:r>
      <w:r w:rsidR="00155CDC" w:rsidRPr="00324E58">
        <w:rPr>
          <w:rFonts w:asciiTheme="minorHAnsi" w:hAnsiTheme="minorHAnsi" w:cstheme="minorHAnsi"/>
          <w:sz w:val="26"/>
          <w:szCs w:val="26"/>
          <w:lang w:val="ro-RO"/>
        </w:rPr>
        <w:t>, încât recunoa</w:t>
      </w:r>
      <w:r w:rsidRPr="00324E58">
        <w:rPr>
          <w:rFonts w:asciiTheme="minorHAnsi" w:hAnsiTheme="minorHAnsi" w:cstheme="minorHAnsi"/>
          <w:sz w:val="26"/>
          <w:szCs w:val="26"/>
          <w:lang w:val="ro-RO"/>
        </w:rPr>
        <w:t>ș</w:t>
      </w:r>
      <w:r w:rsidR="00155CDC" w:rsidRPr="00324E58">
        <w:rPr>
          <w:rFonts w:asciiTheme="minorHAnsi" w:hAnsiTheme="minorHAnsi" w:cstheme="minorHAnsi"/>
          <w:sz w:val="26"/>
          <w:szCs w:val="26"/>
          <w:lang w:val="ro-RO"/>
        </w:rPr>
        <w:t xml:space="preserve">terea unei decizii de confiscare să </w:t>
      </w:r>
      <w:r w:rsidRPr="00324E58">
        <w:rPr>
          <w:rFonts w:asciiTheme="minorHAnsi" w:hAnsiTheme="minorHAnsi" w:cstheme="minorHAnsi"/>
          <w:sz w:val="26"/>
          <w:szCs w:val="26"/>
          <w:lang w:val="ro-RO"/>
        </w:rPr>
        <w:t>ț</w:t>
      </w:r>
      <w:r w:rsidR="00155CDC" w:rsidRPr="00324E58">
        <w:rPr>
          <w:rFonts w:asciiTheme="minorHAnsi" w:hAnsiTheme="minorHAnsi" w:cstheme="minorHAnsi"/>
          <w:sz w:val="26"/>
          <w:szCs w:val="26"/>
          <w:lang w:val="ro-RO"/>
        </w:rPr>
        <w:t>ină cont atât de problemele tran</w:t>
      </w:r>
      <w:r w:rsidRPr="00324E58">
        <w:rPr>
          <w:rFonts w:asciiTheme="minorHAnsi" w:hAnsiTheme="minorHAnsi" w:cstheme="minorHAnsi"/>
          <w:sz w:val="26"/>
          <w:szCs w:val="26"/>
          <w:lang w:val="ro-RO"/>
        </w:rPr>
        <w:t>ș</w:t>
      </w:r>
      <w:r w:rsidR="00155CDC" w:rsidRPr="00324E58">
        <w:rPr>
          <w:rFonts w:asciiTheme="minorHAnsi" w:hAnsiTheme="minorHAnsi" w:cstheme="minorHAnsi"/>
          <w:sz w:val="26"/>
          <w:szCs w:val="26"/>
          <w:lang w:val="ro-RO"/>
        </w:rPr>
        <w:t xml:space="preserve">ate de tribunalul care a luat decizia cât </w:t>
      </w:r>
      <w:r w:rsidRPr="00324E58">
        <w:rPr>
          <w:rFonts w:asciiTheme="minorHAnsi" w:hAnsiTheme="minorHAnsi" w:cstheme="minorHAnsi"/>
          <w:sz w:val="26"/>
          <w:szCs w:val="26"/>
          <w:lang w:val="ro-RO"/>
        </w:rPr>
        <w:t>ș</w:t>
      </w:r>
      <w:r w:rsidR="00155CDC" w:rsidRPr="00324E58">
        <w:rPr>
          <w:rFonts w:asciiTheme="minorHAnsi" w:hAnsiTheme="minorHAnsi" w:cstheme="minorHAnsi"/>
          <w:sz w:val="26"/>
          <w:szCs w:val="26"/>
          <w:lang w:val="ro-RO"/>
        </w:rPr>
        <w:t xml:space="preserve">i de cele care nu au fost rezolvate. </w:t>
      </w:r>
    </w:p>
    <w:p w:rsidR="00155CDC" w:rsidRPr="00324E58" w:rsidRDefault="00155CDC" w:rsidP="00324E58">
      <w:pPr>
        <w:ind w:left="460"/>
        <w:rPr>
          <w:rFonts w:asciiTheme="minorHAnsi" w:hAnsiTheme="minorHAnsi" w:cstheme="minorHAnsi"/>
          <w:sz w:val="26"/>
          <w:szCs w:val="26"/>
          <w:lang w:val="ro-RO"/>
        </w:rPr>
      </w:pPr>
    </w:p>
    <w:p w:rsidR="00155CDC" w:rsidRPr="00324E58" w:rsidRDefault="00155CDC" w:rsidP="00324E58">
      <w:pPr>
        <w:ind w:left="460"/>
        <w:rPr>
          <w:rFonts w:asciiTheme="minorHAnsi" w:hAnsiTheme="minorHAnsi" w:cstheme="minorHAnsi"/>
          <w:sz w:val="26"/>
          <w:szCs w:val="26"/>
          <w:u w:val="single"/>
          <w:lang w:val="ro-RO"/>
        </w:rPr>
      </w:pPr>
      <w:r w:rsidRPr="00324E58">
        <w:rPr>
          <w:rFonts w:asciiTheme="minorHAnsi" w:hAnsiTheme="minorHAnsi" w:cstheme="minorHAnsi"/>
          <w:sz w:val="26"/>
          <w:szCs w:val="26"/>
          <w:lang w:val="ro-RO"/>
        </w:rPr>
        <w:t xml:space="preserve"> </w:t>
      </w:r>
      <w:r w:rsidRPr="00324E58">
        <w:rPr>
          <w:rFonts w:asciiTheme="minorHAnsi" w:hAnsiTheme="minorHAnsi" w:cstheme="minorHAnsi"/>
          <w:sz w:val="26"/>
          <w:szCs w:val="26"/>
          <w:u w:val="single"/>
          <w:lang w:val="ro-RO"/>
        </w:rPr>
        <w:t xml:space="preserve">Persoane obligate prin hotărârea de confiscare </w:t>
      </w:r>
      <w:r w:rsidR="002602E5" w:rsidRPr="00324E58">
        <w:rPr>
          <w:rFonts w:asciiTheme="minorHAnsi" w:hAnsiTheme="minorHAnsi" w:cstheme="minorHAnsi"/>
          <w:sz w:val="26"/>
          <w:szCs w:val="26"/>
          <w:u w:val="single"/>
          <w:lang w:val="ro-RO"/>
        </w:rPr>
        <w:t>ș</w:t>
      </w:r>
      <w:r w:rsidRPr="00324E58">
        <w:rPr>
          <w:rFonts w:asciiTheme="minorHAnsi" w:hAnsiTheme="minorHAnsi" w:cstheme="minorHAnsi"/>
          <w:sz w:val="26"/>
          <w:szCs w:val="26"/>
          <w:u w:val="single"/>
          <w:lang w:val="ro-RO"/>
        </w:rPr>
        <w:t xml:space="preserve">i </w:t>
      </w:r>
      <w:r w:rsidR="002602E5" w:rsidRPr="00324E58">
        <w:rPr>
          <w:rFonts w:asciiTheme="minorHAnsi" w:hAnsiTheme="minorHAnsi" w:cstheme="minorHAnsi"/>
          <w:sz w:val="26"/>
          <w:szCs w:val="26"/>
          <w:u w:val="single"/>
          <w:lang w:val="ro-RO"/>
        </w:rPr>
        <w:t>drepturile</w:t>
      </w:r>
      <w:r w:rsidRPr="00324E58">
        <w:rPr>
          <w:rFonts w:asciiTheme="minorHAnsi" w:hAnsiTheme="minorHAnsi" w:cstheme="minorHAnsi"/>
          <w:sz w:val="26"/>
          <w:szCs w:val="26"/>
          <w:u w:val="single"/>
          <w:lang w:val="ro-RO"/>
        </w:rPr>
        <w:t xml:space="preserve"> ter</w:t>
      </w:r>
      <w:r w:rsidR="002602E5" w:rsidRPr="00324E58">
        <w:rPr>
          <w:rFonts w:asciiTheme="minorHAnsi" w:hAnsiTheme="minorHAnsi" w:cstheme="minorHAnsi"/>
          <w:sz w:val="26"/>
          <w:szCs w:val="26"/>
          <w:u w:val="single"/>
          <w:lang w:val="ro-RO"/>
        </w:rPr>
        <w:t>ț</w:t>
      </w:r>
      <w:r w:rsidRPr="00324E58">
        <w:rPr>
          <w:rFonts w:asciiTheme="minorHAnsi" w:hAnsiTheme="minorHAnsi" w:cstheme="minorHAnsi"/>
          <w:sz w:val="26"/>
          <w:szCs w:val="26"/>
          <w:u w:val="single"/>
          <w:lang w:val="ro-RO"/>
        </w:rPr>
        <w:t xml:space="preserve">ilor. </w:t>
      </w:r>
    </w:p>
    <w:p w:rsidR="00155CDC" w:rsidRPr="00324E58" w:rsidRDefault="00155CDC" w:rsidP="00324E58">
      <w:pPr>
        <w:rPr>
          <w:rFonts w:asciiTheme="minorHAnsi" w:hAnsiTheme="minorHAnsi" w:cstheme="minorHAnsi"/>
          <w:sz w:val="26"/>
          <w:szCs w:val="26"/>
          <w:lang w:val="ro-RO"/>
        </w:rPr>
      </w:pPr>
    </w:p>
    <w:p w:rsidR="00155CDC" w:rsidRPr="00324E58" w:rsidRDefault="00155CDC" w:rsidP="00324E58">
      <w:pPr>
        <w:jc w:val="both"/>
        <w:rPr>
          <w:rFonts w:asciiTheme="minorHAnsi" w:hAnsiTheme="minorHAnsi" w:cstheme="minorHAnsi"/>
          <w:sz w:val="26"/>
          <w:szCs w:val="26"/>
          <w:lang w:val="ro-RO"/>
        </w:rPr>
      </w:pPr>
      <w:r w:rsidRPr="00324E58">
        <w:rPr>
          <w:rFonts w:asciiTheme="minorHAnsi" w:hAnsiTheme="minorHAnsi" w:cstheme="minorHAnsi"/>
          <w:sz w:val="26"/>
          <w:szCs w:val="26"/>
          <w:lang w:val="ro-RO"/>
        </w:rPr>
        <w:t>Ca în orice caz care prive</w:t>
      </w:r>
      <w:r w:rsidR="002602E5" w:rsidRPr="00324E58">
        <w:rPr>
          <w:rFonts w:asciiTheme="minorHAnsi" w:hAnsiTheme="minorHAnsi" w:cstheme="minorHAnsi"/>
          <w:sz w:val="26"/>
          <w:szCs w:val="26"/>
          <w:lang w:val="ro-RO"/>
        </w:rPr>
        <w:t>ș</w:t>
      </w:r>
      <w:r w:rsidRPr="00324E58">
        <w:rPr>
          <w:rFonts w:asciiTheme="minorHAnsi" w:hAnsiTheme="minorHAnsi" w:cstheme="minorHAnsi"/>
          <w:sz w:val="26"/>
          <w:szCs w:val="26"/>
          <w:lang w:val="ro-RO"/>
        </w:rPr>
        <w:t>te punerea în executare a unei hotărâri judecătore</w:t>
      </w:r>
      <w:r w:rsidR="002602E5" w:rsidRPr="00324E58">
        <w:rPr>
          <w:rFonts w:asciiTheme="minorHAnsi" w:hAnsiTheme="minorHAnsi" w:cstheme="minorHAnsi"/>
          <w:sz w:val="26"/>
          <w:szCs w:val="26"/>
          <w:lang w:val="ro-RO"/>
        </w:rPr>
        <w:t>ș</w:t>
      </w:r>
      <w:r w:rsidRPr="00324E58">
        <w:rPr>
          <w:rFonts w:asciiTheme="minorHAnsi" w:hAnsiTheme="minorHAnsi" w:cstheme="minorHAnsi"/>
          <w:sz w:val="26"/>
          <w:szCs w:val="26"/>
          <w:lang w:val="ro-RO"/>
        </w:rPr>
        <w:t>ti,</w:t>
      </w:r>
      <w:r w:rsidR="002602E5" w:rsidRPr="00324E58">
        <w:rPr>
          <w:rFonts w:asciiTheme="minorHAnsi" w:hAnsiTheme="minorHAnsi" w:cstheme="minorHAnsi"/>
          <w:sz w:val="26"/>
          <w:szCs w:val="26"/>
          <w:lang w:val="ro-RO"/>
        </w:rPr>
        <w:t xml:space="preserve"> </w:t>
      </w:r>
      <w:r w:rsidRPr="00324E58">
        <w:rPr>
          <w:rFonts w:asciiTheme="minorHAnsi" w:hAnsiTheme="minorHAnsi" w:cstheme="minorHAnsi"/>
          <w:sz w:val="26"/>
          <w:szCs w:val="26"/>
          <w:lang w:val="ro-RO"/>
        </w:rPr>
        <w:t xml:space="preserve">un aspect important este acela de a </w:t>
      </w:r>
      <w:r w:rsidR="002602E5" w:rsidRPr="00324E58">
        <w:rPr>
          <w:rFonts w:asciiTheme="minorHAnsi" w:hAnsiTheme="minorHAnsi" w:cstheme="minorHAnsi"/>
          <w:sz w:val="26"/>
          <w:szCs w:val="26"/>
          <w:lang w:val="ro-RO"/>
        </w:rPr>
        <w:t>ș</w:t>
      </w:r>
      <w:r w:rsidRPr="00324E58">
        <w:rPr>
          <w:rFonts w:asciiTheme="minorHAnsi" w:hAnsiTheme="minorHAnsi" w:cstheme="minorHAnsi"/>
          <w:sz w:val="26"/>
          <w:szCs w:val="26"/>
          <w:lang w:val="ro-RO"/>
        </w:rPr>
        <w:t>ti cine este obligat prin hotărâre (</w:t>
      </w:r>
      <w:r w:rsidR="002602E5" w:rsidRPr="00324E58">
        <w:rPr>
          <w:rFonts w:asciiTheme="minorHAnsi" w:hAnsiTheme="minorHAnsi" w:cstheme="minorHAnsi"/>
          <w:sz w:val="26"/>
          <w:szCs w:val="26"/>
          <w:lang w:val="ro-RO"/>
        </w:rPr>
        <w:t>ș</w:t>
      </w:r>
      <w:r w:rsidRPr="00324E58">
        <w:rPr>
          <w:rFonts w:asciiTheme="minorHAnsi" w:hAnsiTheme="minorHAnsi" w:cstheme="minorHAnsi"/>
          <w:sz w:val="26"/>
          <w:szCs w:val="26"/>
          <w:lang w:val="ro-RO"/>
        </w:rPr>
        <w:t>i cine nu). Acest aspect este cu atât mai adevărat</w:t>
      </w:r>
      <w:r w:rsidR="002602E5" w:rsidRPr="00324E58">
        <w:rPr>
          <w:rFonts w:asciiTheme="minorHAnsi" w:hAnsiTheme="minorHAnsi" w:cstheme="minorHAnsi"/>
          <w:sz w:val="26"/>
          <w:szCs w:val="26"/>
          <w:lang w:val="ro-RO"/>
        </w:rPr>
        <w:t xml:space="preserve"> </w:t>
      </w:r>
      <w:r w:rsidRPr="00324E58">
        <w:rPr>
          <w:rFonts w:asciiTheme="minorHAnsi" w:hAnsiTheme="minorHAnsi" w:cstheme="minorHAnsi"/>
          <w:sz w:val="26"/>
          <w:szCs w:val="26"/>
          <w:lang w:val="ro-RO"/>
        </w:rPr>
        <w:t>în cazurile de confiscare a unor bunuri specifice atunci când hotărârea de confiscare nu obligă decât persoanele fizice ori juridice care au fost păr</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i în procedura ce a dus la emiterea hotărârii de confiscare. Dacă un ter</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 xml:space="preserve"> afirmă că este proprietarul legitim al unui anume bun, dar nu a figurat ca parte în procedura ini</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ială, atunci fie tribunalul statului emitent, fie tribunalul/tribunalele statelor de executare trebuie să determine detentorul real al bunului în cauză. Dacă tribunalele Statului de executare se a</w:t>
      </w:r>
      <w:r w:rsidR="002602E5" w:rsidRPr="00324E58">
        <w:rPr>
          <w:rFonts w:asciiTheme="minorHAnsi" w:hAnsiTheme="minorHAnsi" w:cstheme="minorHAnsi"/>
          <w:sz w:val="26"/>
          <w:szCs w:val="26"/>
          <w:lang w:val="ro-RO"/>
        </w:rPr>
        <w:t>ș</w:t>
      </w:r>
      <w:r w:rsidRPr="00324E58">
        <w:rPr>
          <w:rFonts w:asciiTheme="minorHAnsi" w:hAnsiTheme="minorHAnsi" w:cstheme="minorHAnsi"/>
          <w:sz w:val="26"/>
          <w:szCs w:val="26"/>
          <w:lang w:val="ro-RO"/>
        </w:rPr>
        <w:t xml:space="preserve">teaptă ca aceste </w:t>
      </w:r>
      <w:r w:rsidRPr="00324E58">
        <w:rPr>
          <w:rFonts w:asciiTheme="minorHAnsi" w:hAnsiTheme="minorHAnsi" w:cstheme="minorHAnsi"/>
          <w:sz w:val="26"/>
          <w:szCs w:val="26"/>
          <w:lang w:val="ro-RO"/>
        </w:rPr>
        <w:lastRenderedPageBreak/>
        <w:t xml:space="preserve">chestiuni să fie tratate în Statul emitent , iar tribunalele Statelor emitente se </w:t>
      </w:r>
      <w:r w:rsidR="002602E5" w:rsidRPr="00324E58">
        <w:rPr>
          <w:rFonts w:asciiTheme="minorHAnsi" w:hAnsiTheme="minorHAnsi" w:cstheme="minorHAnsi"/>
          <w:sz w:val="26"/>
          <w:szCs w:val="26"/>
          <w:lang w:val="ro-RO"/>
        </w:rPr>
        <w:t>așteaptă</w:t>
      </w:r>
      <w:r w:rsidRPr="00324E58">
        <w:rPr>
          <w:rFonts w:asciiTheme="minorHAnsi" w:hAnsiTheme="minorHAnsi" w:cstheme="minorHAnsi"/>
          <w:sz w:val="26"/>
          <w:szCs w:val="26"/>
          <w:lang w:val="ro-RO"/>
        </w:rPr>
        <w:t xml:space="preserve"> ca problemele să fie tratate în Statul de executare, ar rezulta o absen</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ă a protec</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iei ter</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ilor.</w:t>
      </w:r>
      <w:r w:rsidR="002602E5" w:rsidRPr="00324E58">
        <w:rPr>
          <w:rFonts w:asciiTheme="minorHAnsi" w:hAnsiTheme="minorHAnsi" w:cstheme="minorHAnsi"/>
          <w:sz w:val="26"/>
          <w:szCs w:val="26"/>
          <w:lang w:val="ro-RO"/>
        </w:rPr>
        <w:t xml:space="preserve"> </w:t>
      </w:r>
    </w:p>
    <w:p w:rsidR="00155CDC" w:rsidRPr="00324E58" w:rsidRDefault="00155CDC" w:rsidP="00324E58">
      <w:pPr>
        <w:rPr>
          <w:rFonts w:asciiTheme="minorHAnsi" w:hAnsiTheme="minorHAnsi" w:cstheme="minorHAnsi"/>
          <w:sz w:val="26"/>
          <w:szCs w:val="26"/>
          <w:lang w:val="ro-RO"/>
        </w:rPr>
      </w:pPr>
    </w:p>
    <w:p w:rsidR="00155CDC" w:rsidRPr="00324E58" w:rsidRDefault="00155CDC" w:rsidP="00324E58">
      <w:pPr>
        <w:ind w:right="20"/>
        <w:jc w:val="both"/>
        <w:rPr>
          <w:rFonts w:asciiTheme="minorHAnsi" w:hAnsiTheme="minorHAnsi" w:cstheme="minorHAnsi"/>
          <w:sz w:val="26"/>
          <w:szCs w:val="26"/>
          <w:lang w:val="ro-RO"/>
        </w:rPr>
      </w:pPr>
      <w:r w:rsidRPr="00324E58">
        <w:rPr>
          <w:rFonts w:asciiTheme="minorHAnsi" w:hAnsiTheme="minorHAnsi" w:cstheme="minorHAnsi"/>
          <w:sz w:val="26"/>
          <w:szCs w:val="26"/>
          <w:lang w:val="ro-RO"/>
        </w:rPr>
        <w:t>Aceste probleme pot fi tratate în diverse maniere. Exista posibilitatea unei interven</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ii for</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ate a ter</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 xml:space="preserve">ului care afirmă că este proprietarul unui bun determinat în vederea confiscării în calitate de parte în procedura penală în Statul emitent, ceea ce face ca hotărârea de confiscare să îi fie pe deplin opozabilă. </w:t>
      </w:r>
    </w:p>
    <w:p w:rsidR="00155CDC" w:rsidRPr="00324E58" w:rsidRDefault="00155CDC" w:rsidP="00324E58">
      <w:pPr>
        <w:rPr>
          <w:rFonts w:asciiTheme="minorHAnsi" w:hAnsiTheme="minorHAnsi" w:cstheme="minorHAnsi"/>
          <w:sz w:val="26"/>
          <w:szCs w:val="26"/>
          <w:lang w:val="ro-RO"/>
        </w:rPr>
      </w:pPr>
    </w:p>
    <w:p w:rsidR="00155CDC" w:rsidRPr="00324E58" w:rsidRDefault="00155CDC" w:rsidP="00324E58">
      <w:pPr>
        <w:jc w:val="both"/>
        <w:rPr>
          <w:rFonts w:asciiTheme="minorHAnsi" w:hAnsiTheme="minorHAnsi" w:cstheme="minorHAnsi"/>
          <w:sz w:val="26"/>
          <w:szCs w:val="26"/>
          <w:lang w:val="ro-RO"/>
        </w:rPr>
      </w:pPr>
      <w:r w:rsidRPr="00324E58">
        <w:rPr>
          <w:rFonts w:asciiTheme="minorHAnsi" w:hAnsiTheme="minorHAnsi" w:cstheme="minorHAnsi"/>
          <w:sz w:val="26"/>
          <w:szCs w:val="26"/>
          <w:lang w:val="ro-RO"/>
        </w:rPr>
        <w:t>Dacă hotărârea de confiscare nu este opozabilă ter</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 xml:space="preserve">ului, trebuie puse în aplicare proceduri pentru ca statul de executare să se ocupe de problema verificării dreptului de proprietate al inculpatului care a fost parte în procedura derulată în Statul emitent. Aceste probleme fac parte din orice procedură de executare civilă </w:t>
      </w:r>
      <w:r w:rsidR="002602E5" w:rsidRPr="00324E58">
        <w:rPr>
          <w:rFonts w:asciiTheme="minorHAnsi" w:hAnsiTheme="minorHAnsi" w:cstheme="minorHAnsi"/>
          <w:sz w:val="26"/>
          <w:szCs w:val="26"/>
          <w:lang w:val="ro-RO"/>
        </w:rPr>
        <w:t>ș</w:t>
      </w:r>
      <w:r w:rsidRPr="00324E58">
        <w:rPr>
          <w:rFonts w:asciiTheme="minorHAnsi" w:hAnsiTheme="minorHAnsi" w:cstheme="minorHAnsi"/>
          <w:sz w:val="26"/>
          <w:szCs w:val="26"/>
          <w:lang w:val="ro-RO"/>
        </w:rPr>
        <w:t>i trebuie tratate în aceea</w:t>
      </w:r>
      <w:r w:rsidR="002602E5" w:rsidRPr="00324E58">
        <w:rPr>
          <w:rFonts w:asciiTheme="minorHAnsi" w:hAnsiTheme="minorHAnsi" w:cstheme="minorHAnsi"/>
          <w:sz w:val="26"/>
          <w:szCs w:val="26"/>
          <w:lang w:val="ro-RO"/>
        </w:rPr>
        <w:t>ș</w:t>
      </w:r>
      <w:r w:rsidRPr="00324E58">
        <w:rPr>
          <w:rFonts w:asciiTheme="minorHAnsi" w:hAnsiTheme="minorHAnsi" w:cstheme="minorHAnsi"/>
          <w:sz w:val="26"/>
          <w:szCs w:val="26"/>
          <w:lang w:val="ro-RO"/>
        </w:rPr>
        <w:t>i manieră.</w:t>
      </w:r>
    </w:p>
    <w:p w:rsidR="00155CDC" w:rsidRPr="00324E58" w:rsidRDefault="00155CDC" w:rsidP="00324E58">
      <w:pPr>
        <w:rPr>
          <w:rFonts w:asciiTheme="minorHAnsi" w:hAnsiTheme="minorHAnsi" w:cstheme="minorHAnsi"/>
          <w:sz w:val="26"/>
          <w:szCs w:val="26"/>
          <w:lang w:val="ro-RO"/>
        </w:rPr>
      </w:pPr>
    </w:p>
    <w:p w:rsidR="00900729" w:rsidRPr="00324E58" w:rsidRDefault="00155CDC" w:rsidP="00324E58">
      <w:pPr>
        <w:jc w:val="both"/>
        <w:rPr>
          <w:rFonts w:asciiTheme="minorHAnsi" w:hAnsiTheme="minorHAnsi" w:cstheme="minorHAnsi"/>
          <w:sz w:val="26"/>
          <w:szCs w:val="26"/>
          <w:lang w:val="ro-RO"/>
        </w:rPr>
      </w:pPr>
      <w:r w:rsidRPr="00324E58">
        <w:rPr>
          <w:rFonts w:asciiTheme="minorHAnsi" w:hAnsiTheme="minorHAnsi" w:cstheme="minorHAnsi"/>
          <w:sz w:val="26"/>
          <w:szCs w:val="26"/>
          <w:lang w:val="ro-RO"/>
        </w:rPr>
        <w:t xml:space="preserve">Este la fel de important să se </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 xml:space="preserve">ină cont de statutul persoanelor juridice </w:t>
      </w:r>
      <w:r w:rsidR="002602E5" w:rsidRPr="00324E58">
        <w:rPr>
          <w:rFonts w:asciiTheme="minorHAnsi" w:hAnsiTheme="minorHAnsi" w:cstheme="minorHAnsi"/>
          <w:sz w:val="26"/>
          <w:szCs w:val="26"/>
          <w:lang w:val="ro-RO"/>
        </w:rPr>
        <w:t>ș</w:t>
      </w:r>
      <w:r w:rsidRPr="00324E58">
        <w:rPr>
          <w:rFonts w:asciiTheme="minorHAnsi" w:hAnsiTheme="minorHAnsi" w:cstheme="minorHAnsi"/>
          <w:sz w:val="26"/>
          <w:szCs w:val="26"/>
          <w:lang w:val="ro-RO"/>
        </w:rPr>
        <w:t>i al tuturor păr</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ilor interesate, cu excep</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ia ac</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ionarilor. Atâta vreme cât o societate sau o altă persoană juridică este recunoscută ca fiind adevăratul proprietar al unui bun (cu excep</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ia faptului de a de</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ine un bun în regim fiduciar sau prin orice alt mijloc care disimulează adevăratul drept de proprietate), trebuie instituite garan</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ii pentru a asigura protec</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 xml:space="preserve">ia aceste persoane juridice </w:t>
      </w:r>
      <w:r w:rsidR="002602E5" w:rsidRPr="00324E58">
        <w:rPr>
          <w:rFonts w:asciiTheme="minorHAnsi" w:hAnsiTheme="minorHAnsi" w:cstheme="minorHAnsi"/>
          <w:sz w:val="26"/>
          <w:szCs w:val="26"/>
          <w:lang w:val="ro-RO"/>
        </w:rPr>
        <w:t>ș</w:t>
      </w:r>
      <w:r w:rsidRPr="00324E58">
        <w:rPr>
          <w:rFonts w:asciiTheme="minorHAnsi" w:hAnsiTheme="minorHAnsi" w:cstheme="minorHAnsi"/>
          <w:sz w:val="26"/>
          <w:szCs w:val="26"/>
          <w:lang w:val="ro-RO"/>
        </w:rPr>
        <w:t>i ale drepturilor păr</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ilor interesate.</w:t>
      </w:r>
      <w:r w:rsidR="002602E5" w:rsidRPr="00324E58">
        <w:rPr>
          <w:rFonts w:asciiTheme="minorHAnsi" w:hAnsiTheme="minorHAnsi" w:cstheme="minorHAnsi"/>
          <w:sz w:val="26"/>
          <w:szCs w:val="26"/>
          <w:lang w:val="ro-RO"/>
        </w:rPr>
        <w:t xml:space="preserve"> </w:t>
      </w:r>
      <w:r w:rsidRPr="00324E58">
        <w:rPr>
          <w:rFonts w:asciiTheme="minorHAnsi" w:hAnsiTheme="minorHAnsi" w:cstheme="minorHAnsi"/>
          <w:sz w:val="26"/>
          <w:szCs w:val="26"/>
          <w:lang w:val="ro-RO"/>
        </w:rPr>
        <w:t>Aceste garan</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ii trebuie să includă dreptul oricărei societă</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 xml:space="preserve">i, proprietară a unui bun determinat supus </w:t>
      </w:r>
      <w:r w:rsidR="002602E5" w:rsidRPr="00324E58">
        <w:rPr>
          <w:rFonts w:asciiTheme="minorHAnsi" w:hAnsiTheme="minorHAnsi" w:cstheme="minorHAnsi"/>
          <w:sz w:val="26"/>
          <w:szCs w:val="26"/>
          <w:lang w:val="ro-RO"/>
        </w:rPr>
        <w:t>confiscării</w:t>
      </w:r>
      <w:r w:rsidRPr="00324E58">
        <w:rPr>
          <w:rFonts w:asciiTheme="minorHAnsi" w:hAnsiTheme="minorHAnsi" w:cstheme="minorHAnsi"/>
          <w:sz w:val="26"/>
          <w:szCs w:val="26"/>
          <w:lang w:val="ro-RO"/>
        </w:rPr>
        <w:t>, de a avea acces la căile de atac judiciare, cel pu</w:t>
      </w:r>
      <w:r w:rsidR="002602E5" w:rsidRPr="00324E58">
        <w:rPr>
          <w:rFonts w:asciiTheme="minorHAnsi" w:hAnsiTheme="minorHAnsi" w:cstheme="minorHAnsi"/>
          <w:sz w:val="26"/>
          <w:szCs w:val="26"/>
          <w:lang w:val="ro-RO"/>
        </w:rPr>
        <w:t>ț</w:t>
      </w:r>
      <w:r w:rsidRPr="00324E58">
        <w:rPr>
          <w:rFonts w:asciiTheme="minorHAnsi" w:hAnsiTheme="minorHAnsi" w:cstheme="minorHAnsi"/>
          <w:sz w:val="26"/>
          <w:szCs w:val="26"/>
          <w:lang w:val="ro-RO"/>
        </w:rPr>
        <w:t>in în Statul emitent sau în Statul de exec</w:t>
      </w:r>
      <w:r w:rsidR="00EB3F6D" w:rsidRPr="00324E58">
        <w:rPr>
          <w:rFonts w:asciiTheme="minorHAnsi" w:hAnsiTheme="minorHAnsi" w:cstheme="minorHAnsi"/>
          <w:sz w:val="26"/>
          <w:szCs w:val="26"/>
          <w:lang w:val="ro-RO"/>
        </w:rPr>
        <w:t>utare.</w:t>
      </w:r>
      <w:bookmarkStart w:id="1" w:name="page4"/>
      <w:bookmarkStart w:id="2" w:name="page7"/>
      <w:bookmarkEnd w:id="1"/>
      <w:bookmarkEnd w:id="2"/>
    </w:p>
    <w:sectPr w:rsidR="00900729" w:rsidRPr="00324E58" w:rsidSect="00552F1C">
      <w:headerReference w:type="default" r:id="rId7"/>
      <w:pgSz w:w="12240" w:h="1584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C72" w:rsidRDefault="00AE2C72" w:rsidP="00C03CB4">
      <w:r>
        <w:separator/>
      </w:r>
    </w:p>
  </w:endnote>
  <w:endnote w:type="continuationSeparator" w:id="0">
    <w:p w:rsidR="00AE2C72" w:rsidRDefault="00AE2C72" w:rsidP="00C0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C72" w:rsidRDefault="00AE2C72" w:rsidP="00C03CB4">
      <w:r>
        <w:separator/>
      </w:r>
    </w:p>
  </w:footnote>
  <w:footnote w:type="continuationSeparator" w:id="0">
    <w:p w:rsidR="00AE2C72" w:rsidRDefault="00AE2C72" w:rsidP="00C03CB4">
      <w:r>
        <w:continuationSeparator/>
      </w:r>
    </w:p>
  </w:footnote>
  <w:footnote w:id="1">
    <w:p w:rsidR="00324E58" w:rsidRPr="006407B9" w:rsidRDefault="00324E58" w:rsidP="00324E58">
      <w:pPr>
        <w:autoSpaceDE w:val="0"/>
        <w:autoSpaceDN w:val="0"/>
        <w:adjustRightInd w:val="0"/>
        <w:rPr>
          <w:rFonts w:ascii="Calibri" w:hAnsi="Calibri" w:cs="Calibri"/>
          <w:bCs/>
        </w:rPr>
      </w:pPr>
      <w:r>
        <w:rPr>
          <w:rStyle w:val="FootnoteReference"/>
        </w:rPr>
        <w:footnoteRef/>
      </w:r>
      <w:r>
        <w:t xml:space="preserve"> </w:t>
      </w:r>
      <w:r w:rsidRPr="00CC4109">
        <w:rPr>
          <w:rFonts w:ascii="Calibri" w:hAnsi="Calibri" w:cs="Calibri"/>
          <w:bCs/>
          <w:sz w:val="20"/>
          <w:szCs w:val="20"/>
          <w:lang w:val="ro-RO"/>
        </w:rPr>
        <w:t>Astfel cum au fost comunicate de către Delegația Permanentă a U.N.B.R. la CCBE la 31 mai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0EB" w:rsidRDefault="00AC10EB">
    <w:pPr>
      <w:pStyle w:val="Header"/>
      <w:jc w:val="right"/>
    </w:pPr>
  </w:p>
  <w:p w:rsidR="00AC10EB" w:rsidRDefault="00AC10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56F65"/>
    <w:multiLevelType w:val="hybridMultilevel"/>
    <w:tmpl w:val="3E408046"/>
    <w:lvl w:ilvl="0" w:tplc="D0748874">
      <w:start w:val="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B44F9"/>
    <w:multiLevelType w:val="hybridMultilevel"/>
    <w:tmpl w:val="67BC24C4"/>
    <w:lvl w:ilvl="0" w:tplc="74EAB6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560FB"/>
    <w:multiLevelType w:val="hybridMultilevel"/>
    <w:tmpl w:val="31C4BA12"/>
    <w:lvl w:ilvl="0" w:tplc="A5B0CF32">
      <w:start w:val="1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07434"/>
    <w:multiLevelType w:val="hybridMultilevel"/>
    <w:tmpl w:val="891A2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8D4732"/>
    <w:multiLevelType w:val="hybridMultilevel"/>
    <w:tmpl w:val="6AF0174E"/>
    <w:lvl w:ilvl="0" w:tplc="F6163B04">
      <w:start w:val="2"/>
      <w:numFmt w:val="bullet"/>
      <w:lvlText w:val="-"/>
      <w:lvlJc w:val="left"/>
      <w:pPr>
        <w:ind w:left="644" w:hanging="360"/>
      </w:pPr>
      <w:rPr>
        <w:rFonts w:ascii="Calibri" w:eastAsia="Times New Roman" w:hAnsi="Calibri" w:cs="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 w15:restartNumberingAfterBreak="0">
    <w:nsid w:val="3D1F0233"/>
    <w:multiLevelType w:val="multilevel"/>
    <w:tmpl w:val="23FE295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534CB5"/>
    <w:multiLevelType w:val="hybridMultilevel"/>
    <w:tmpl w:val="E27673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CB52B6"/>
    <w:multiLevelType w:val="hybridMultilevel"/>
    <w:tmpl w:val="8CECC2F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540C2304"/>
    <w:multiLevelType w:val="hybridMultilevel"/>
    <w:tmpl w:val="482666A6"/>
    <w:lvl w:ilvl="0" w:tplc="040C0011">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560C544F"/>
    <w:multiLevelType w:val="hybridMultilevel"/>
    <w:tmpl w:val="23D0441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B080D31"/>
    <w:multiLevelType w:val="hybridMultilevel"/>
    <w:tmpl w:val="6516692C"/>
    <w:lvl w:ilvl="0" w:tplc="A190BF0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2BD4585"/>
    <w:multiLevelType w:val="hybridMultilevel"/>
    <w:tmpl w:val="5D3636E2"/>
    <w:lvl w:ilvl="0" w:tplc="99C0E136">
      <w:start w:val="1"/>
      <w:numFmt w:val="bullet"/>
      <w:lvlText w:val="-"/>
      <w:lvlJc w:val="left"/>
      <w:pPr>
        <w:ind w:left="1440" w:hanging="360"/>
      </w:pPr>
      <w:rPr>
        <w:rFonts w:ascii="Calibri" w:eastAsia="Calibr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64E74DDD"/>
    <w:multiLevelType w:val="hybridMultilevel"/>
    <w:tmpl w:val="D22A3034"/>
    <w:lvl w:ilvl="0" w:tplc="528A0AF6">
      <w:start w:val="2"/>
      <w:numFmt w:val="decimal"/>
      <w:lvlText w:val="%1."/>
      <w:lvlJc w:val="left"/>
      <w:pPr>
        <w:ind w:left="360" w:hanging="360"/>
      </w:pPr>
      <w:rPr>
        <w:rFonts w:hint="default"/>
      </w:rPr>
    </w:lvl>
    <w:lvl w:ilvl="1" w:tplc="080C0019" w:tentative="1">
      <w:start w:val="1"/>
      <w:numFmt w:val="lowerLetter"/>
      <w:lvlText w:val="%2."/>
      <w:lvlJc w:val="left"/>
      <w:pPr>
        <w:ind w:left="796" w:hanging="360"/>
      </w:pPr>
    </w:lvl>
    <w:lvl w:ilvl="2" w:tplc="080C001B" w:tentative="1">
      <w:start w:val="1"/>
      <w:numFmt w:val="lowerRoman"/>
      <w:lvlText w:val="%3."/>
      <w:lvlJc w:val="right"/>
      <w:pPr>
        <w:ind w:left="1516" w:hanging="180"/>
      </w:pPr>
    </w:lvl>
    <w:lvl w:ilvl="3" w:tplc="080C000F" w:tentative="1">
      <w:start w:val="1"/>
      <w:numFmt w:val="decimal"/>
      <w:lvlText w:val="%4."/>
      <w:lvlJc w:val="left"/>
      <w:pPr>
        <w:ind w:left="2236" w:hanging="360"/>
      </w:pPr>
    </w:lvl>
    <w:lvl w:ilvl="4" w:tplc="080C0019" w:tentative="1">
      <w:start w:val="1"/>
      <w:numFmt w:val="lowerLetter"/>
      <w:lvlText w:val="%5."/>
      <w:lvlJc w:val="left"/>
      <w:pPr>
        <w:ind w:left="2956" w:hanging="360"/>
      </w:pPr>
    </w:lvl>
    <w:lvl w:ilvl="5" w:tplc="080C001B" w:tentative="1">
      <w:start w:val="1"/>
      <w:numFmt w:val="lowerRoman"/>
      <w:lvlText w:val="%6."/>
      <w:lvlJc w:val="right"/>
      <w:pPr>
        <w:ind w:left="3676" w:hanging="180"/>
      </w:pPr>
    </w:lvl>
    <w:lvl w:ilvl="6" w:tplc="080C000F" w:tentative="1">
      <w:start w:val="1"/>
      <w:numFmt w:val="decimal"/>
      <w:lvlText w:val="%7."/>
      <w:lvlJc w:val="left"/>
      <w:pPr>
        <w:ind w:left="4396" w:hanging="360"/>
      </w:pPr>
    </w:lvl>
    <w:lvl w:ilvl="7" w:tplc="080C0019" w:tentative="1">
      <w:start w:val="1"/>
      <w:numFmt w:val="lowerLetter"/>
      <w:lvlText w:val="%8."/>
      <w:lvlJc w:val="left"/>
      <w:pPr>
        <w:ind w:left="5116" w:hanging="360"/>
      </w:pPr>
    </w:lvl>
    <w:lvl w:ilvl="8" w:tplc="080C001B" w:tentative="1">
      <w:start w:val="1"/>
      <w:numFmt w:val="lowerRoman"/>
      <w:lvlText w:val="%9."/>
      <w:lvlJc w:val="right"/>
      <w:pPr>
        <w:ind w:left="5836" w:hanging="180"/>
      </w:pPr>
    </w:lvl>
  </w:abstractNum>
  <w:abstractNum w:abstractNumId="13" w15:restartNumberingAfterBreak="0">
    <w:nsid w:val="6F061131"/>
    <w:multiLevelType w:val="hybridMultilevel"/>
    <w:tmpl w:val="52702394"/>
    <w:lvl w:ilvl="0" w:tplc="EA66E4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343636"/>
    <w:multiLevelType w:val="hybridMultilevel"/>
    <w:tmpl w:val="F294A7A2"/>
    <w:lvl w:ilvl="0" w:tplc="04150019">
      <w:start w:val="1"/>
      <w:numFmt w:val="lowerLetter"/>
      <w:lvlText w:val="%1."/>
      <w:lvlJc w:val="left"/>
      <w:pPr>
        <w:ind w:left="4984" w:hanging="360"/>
      </w:pPr>
    </w:lvl>
    <w:lvl w:ilvl="1" w:tplc="04150019" w:tentative="1">
      <w:start w:val="1"/>
      <w:numFmt w:val="lowerLetter"/>
      <w:lvlText w:val="%2."/>
      <w:lvlJc w:val="left"/>
      <w:pPr>
        <w:ind w:left="5704" w:hanging="360"/>
      </w:pPr>
    </w:lvl>
    <w:lvl w:ilvl="2" w:tplc="0415001B" w:tentative="1">
      <w:start w:val="1"/>
      <w:numFmt w:val="lowerRoman"/>
      <w:lvlText w:val="%3."/>
      <w:lvlJc w:val="right"/>
      <w:pPr>
        <w:ind w:left="6424" w:hanging="180"/>
      </w:pPr>
    </w:lvl>
    <w:lvl w:ilvl="3" w:tplc="0415000F" w:tentative="1">
      <w:start w:val="1"/>
      <w:numFmt w:val="decimal"/>
      <w:lvlText w:val="%4."/>
      <w:lvlJc w:val="left"/>
      <w:pPr>
        <w:ind w:left="7144" w:hanging="360"/>
      </w:pPr>
    </w:lvl>
    <w:lvl w:ilvl="4" w:tplc="04150019" w:tentative="1">
      <w:start w:val="1"/>
      <w:numFmt w:val="lowerLetter"/>
      <w:lvlText w:val="%5."/>
      <w:lvlJc w:val="left"/>
      <w:pPr>
        <w:ind w:left="7864" w:hanging="360"/>
      </w:pPr>
    </w:lvl>
    <w:lvl w:ilvl="5" w:tplc="0415001B" w:tentative="1">
      <w:start w:val="1"/>
      <w:numFmt w:val="lowerRoman"/>
      <w:lvlText w:val="%6."/>
      <w:lvlJc w:val="right"/>
      <w:pPr>
        <w:ind w:left="8584" w:hanging="180"/>
      </w:pPr>
    </w:lvl>
    <w:lvl w:ilvl="6" w:tplc="0415000F" w:tentative="1">
      <w:start w:val="1"/>
      <w:numFmt w:val="decimal"/>
      <w:lvlText w:val="%7."/>
      <w:lvlJc w:val="left"/>
      <w:pPr>
        <w:ind w:left="9304" w:hanging="360"/>
      </w:pPr>
    </w:lvl>
    <w:lvl w:ilvl="7" w:tplc="04150019" w:tentative="1">
      <w:start w:val="1"/>
      <w:numFmt w:val="lowerLetter"/>
      <w:lvlText w:val="%8."/>
      <w:lvlJc w:val="left"/>
      <w:pPr>
        <w:ind w:left="10024" w:hanging="360"/>
      </w:pPr>
    </w:lvl>
    <w:lvl w:ilvl="8" w:tplc="0415001B" w:tentative="1">
      <w:start w:val="1"/>
      <w:numFmt w:val="lowerRoman"/>
      <w:lvlText w:val="%9."/>
      <w:lvlJc w:val="right"/>
      <w:pPr>
        <w:ind w:left="10744" w:hanging="180"/>
      </w:pPr>
    </w:lvl>
  </w:abstractNum>
  <w:abstractNum w:abstractNumId="15" w15:restartNumberingAfterBreak="0">
    <w:nsid w:val="73F83406"/>
    <w:multiLevelType w:val="hybridMultilevel"/>
    <w:tmpl w:val="7BA881E8"/>
    <w:lvl w:ilvl="0" w:tplc="35045D58">
      <w:numFmt w:val="bullet"/>
      <w:lvlText w:val="-"/>
      <w:lvlJc w:val="left"/>
      <w:pPr>
        <w:ind w:left="1440" w:hanging="360"/>
      </w:pPr>
      <w:rPr>
        <w:rFonts w:ascii="Calibri" w:eastAsia="Calibri" w:hAnsi="Calibri" w:cs="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6" w15:restartNumberingAfterBreak="0">
    <w:nsid w:val="7A433547"/>
    <w:multiLevelType w:val="hybridMultilevel"/>
    <w:tmpl w:val="9B023BAA"/>
    <w:lvl w:ilvl="0" w:tplc="393C2908">
      <w:start w:val="1"/>
      <w:numFmt w:val="decimal"/>
      <w:lvlText w:val="%1."/>
      <w:lvlJc w:val="left"/>
      <w:pPr>
        <w:ind w:left="360" w:hanging="360"/>
      </w:pPr>
      <w:rPr>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7" w15:restartNumberingAfterBreak="0">
    <w:nsid w:val="7D417BE8"/>
    <w:multiLevelType w:val="hybridMultilevel"/>
    <w:tmpl w:val="AE7A26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0"/>
  </w:num>
  <w:num w:numId="4">
    <w:abstractNumId w:val="3"/>
  </w:num>
  <w:num w:numId="5">
    <w:abstractNumId w:val="2"/>
  </w:num>
  <w:num w:numId="6">
    <w:abstractNumId w:val="10"/>
  </w:num>
  <w:num w:numId="7">
    <w:abstractNumId w:val="11"/>
  </w:num>
  <w:num w:numId="8">
    <w:abstractNumId w:val="8"/>
  </w:num>
  <w:num w:numId="9">
    <w:abstractNumId w:val="15"/>
  </w:num>
  <w:num w:numId="10">
    <w:abstractNumId w:val="17"/>
  </w:num>
  <w:num w:numId="11">
    <w:abstractNumId w:val="1"/>
  </w:num>
  <w:num w:numId="12">
    <w:abstractNumId w:val="5"/>
  </w:num>
  <w:num w:numId="13">
    <w:abstractNumId w:val="7"/>
  </w:num>
  <w:num w:numId="14">
    <w:abstractNumId w:val="14"/>
  </w:num>
  <w:num w:numId="15">
    <w:abstractNumId w:val="16"/>
  </w:num>
  <w:num w:numId="16">
    <w:abstractNumId w:val="12"/>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231D"/>
    <w:rsid w:val="0001141C"/>
    <w:rsid w:val="00035158"/>
    <w:rsid w:val="00052ADC"/>
    <w:rsid w:val="00123B0B"/>
    <w:rsid w:val="00155CDC"/>
    <w:rsid w:val="0018319B"/>
    <w:rsid w:val="001A36DD"/>
    <w:rsid w:val="001E2715"/>
    <w:rsid w:val="00256F2E"/>
    <w:rsid w:val="002602E5"/>
    <w:rsid w:val="002906BA"/>
    <w:rsid w:val="0030492B"/>
    <w:rsid w:val="00324E58"/>
    <w:rsid w:val="00331ABC"/>
    <w:rsid w:val="00334B6A"/>
    <w:rsid w:val="003757C3"/>
    <w:rsid w:val="00397301"/>
    <w:rsid w:val="003B4EBD"/>
    <w:rsid w:val="003D48E7"/>
    <w:rsid w:val="0044231D"/>
    <w:rsid w:val="00442FC2"/>
    <w:rsid w:val="004B1BDA"/>
    <w:rsid w:val="004B7286"/>
    <w:rsid w:val="004D3C64"/>
    <w:rsid w:val="004F648F"/>
    <w:rsid w:val="00505481"/>
    <w:rsid w:val="00534D63"/>
    <w:rsid w:val="00534DB1"/>
    <w:rsid w:val="00552F1C"/>
    <w:rsid w:val="00596328"/>
    <w:rsid w:val="005F4675"/>
    <w:rsid w:val="00611E24"/>
    <w:rsid w:val="00651C83"/>
    <w:rsid w:val="00677D21"/>
    <w:rsid w:val="006A1B30"/>
    <w:rsid w:val="006E13E3"/>
    <w:rsid w:val="00820335"/>
    <w:rsid w:val="0086072B"/>
    <w:rsid w:val="008C1C50"/>
    <w:rsid w:val="008C7E75"/>
    <w:rsid w:val="008D7B8E"/>
    <w:rsid w:val="00900729"/>
    <w:rsid w:val="0090641D"/>
    <w:rsid w:val="009313E9"/>
    <w:rsid w:val="00941959"/>
    <w:rsid w:val="00A01EEC"/>
    <w:rsid w:val="00A235C9"/>
    <w:rsid w:val="00A40CB8"/>
    <w:rsid w:val="00A50289"/>
    <w:rsid w:val="00A56327"/>
    <w:rsid w:val="00A76DA0"/>
    <w:rsid w:val="00AC10EB"/>
    <w:rsid w:val="00AE0FD8"/>
    <w:rsid w:val="00AE2C72"/>
    <w:rsid w:val="00B855FA"/>
    <w:rsid w:val="00BA7A61"/>
    <w:rsid w:val="00BB4F70"/>
    <w:rsid w:val="00C03CB4"/>
    <w:rsid w:val="00C44876"/>
    <w:rsid w:val="00C44D89"/>
    <w:rsid w:val="00CB2151"/>
    <w:rsid w:val="00CC4109"/>
    <w:rsid w:val="00CD5BBD"/>
    <w:rsid w:val="00D02B63"/>
    <w:rsid w:val="00DA1B58"/>
    <w:rsid w:val="00DB6F29"/>
    <w:rsid w:val="00DC5907"/>
    <w:rsid w:val="00DF67A9"/>
    <w:rsid w:val="00E0622E"/>
    <w:rsid w:val="00E4644F"/>
    <w:rsid w:val="00E93FCA"/>
    <w:rsid w:val="00EA55AD"/>
    <w:rsid w:val="00EB3F6D"/>
    <w:rsid w:val="00EB7622"/>
    <w:rsid w:val="00ED3D91"/>
    <w:rsid w:val="00EF3CCB"/>
    <w:rsid w:val="00F03465"/>
    <w:rsid w:val="00F421B1"/>
    <w:rsid w:val="00F95341"/>
    <w:rsid w:val="00FA5472"/>
    <w:rsid w:val="00FC3DDC"/>
    <w:rsid w:val="00FD58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7390E3-B559-43BA-960F-5A6719AD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31D"/>
    <w:pPr>
      <w:spacing w:after="0" w:line="240" w:lineRule="auto"/>
    </w:pPr>
    <w:rPr>
      <w:rFonts w:ascii="Times New Roman" w:eastAsia="Times New Roman" w:hAnsi="Times New Roman" w:cs="Times New Roman"/>
      <w:lang w:val="fr-FR" w:eastAsia="fr-FR"/>
    </w:rPr>
  </w:style>
  <w:style w:type="paragraph" w:styleId="Heading1">
    <w:name w:val="heading 1"/>
    <w:basedOn w:val="Normal"/>
    <w:next w:val="Normal"/>
    <w:link w:val="Heading1Char"/>
    <w:uiPriority w:val="9"/>
    <w:qFormat/>
    <w:rsid w:val="00DA1B5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715"/>
    <w:pPr>
      <w:spacing w:after="160" w:line="259"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1E2715"/>
    <w:rPr>
      <w:sz w:val="16"/>
      <w:szCs w:val="16"/>
    </w:rPr>
  </w:style>
  <w:style w:type="paragraph" w:styleId="CommentText">
    <w:name w:val="annotation text"/>
    <w:basedOn w:val="Normal"/>
    <w:link w:val="CommentTextChar"/>
    <w:uiPriority w:val="99"/>
    <w:semiHidden/>
    <w:unhideWhenUsed/>
    <w:rsid w:val="001E2715"/>
    <w:pPr>
      <w:spacing w:after="160"/>
    </w:pPr>
    <w:rPr>
      <w:rFonts w:asciiTheme="minorHAnsi" w:eastAsiaTheme="minorEastAsia" w:hAnsiTheme="minorHAnsi" w:cstheme="minorBidi"/>
      <w:sz w:val="20"/>
      <w:szCs w:val="20"/>
      <w:lang w:val="fr-BE" w:eastAsia="zh-CN"/>
    </w:rPr>
  </w:style>
  <w:style w:type="character" w:customStyle="1" w:styleId="CommentTextChar">
    <w:name w:val="Comment Text Char"/>
    <w:basedOn w:val="DefaultParagraphFont"/>
    <w:link w:val="CommentText"/>
    <w:uiPriority w:val="99"/>
    <w:semiHidden/>
    <w:rsid w:val="001E2715"/>
    <w:rPr>
      <w:rFonts w:eastAsiaTheme="minorEastAsia"/>
      <w:sz w:val="20"/>
      <w:szCs w:val="20"/>
      <w:lang w:val="fr-BE" w:eastAsia="zh-CN"/>
    </w:rPr>
  </w:style>
  <w:style w:type="paragraph" w:styleId="BalloonText">
    <w:name w:val="Balloon Text"/>
    <w:basedOn w:val="Normal"/>
    <w:link w:val="BalloonTextChar"/>
    <w:uiPriority w:val="99"/>
    <w:semiHidden/>
    <w:unhideWhenUsed/>
    <w:rsid w:val="001E27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715"/>
    <w:rPr>
      <w:rFonts w:ascii="Segoe UI" w:eastAsia="Times New Roman" w:hAnsi="Segoe UI" w:cs="Segoe UI"/>
      <w:sz w:val="18"/>
      <w:szCs w:val="18"/>
      <w:lang w:val="fr-FR" w:eastAsia="fr-FR"/>
    </w:rPr>
  </w:style>
  <w:style w:type="character" w:customStyle="1" w:styleId="Heading1Char">
    <w:name w:val="Heading 1 Char"/>
    <w:basedOn w:val="DefaultParagraphFont"/>
    <w:link w:val="Heading1"/>
    <w:uiPriority w:val="9"/>
    <w:rsid w:val="00DA1B58"/>
    <w:rPr>
      <w:rFonts w:asciiTheme="majorHAnsi" w:eastAsiaTheme="majorEastAsia" w:hAnsiTheme="majorHAnsi" w:cstheme="majorBidi"/>
      <w:color w:val="2E74B5" w:themeColor="accent1" w:themeShade="BF"/>
      <w:sz w:val="32"/>
      <w:szCs w:val="32"/>
      <w:lang w:val="fr-FR" w:eastAsia="fr-FR"/>
    </w:rPr>
  </w:style>
  <w:style w:type="paragraph" w:styleId="FootnoteText">
    <w:name w:val="footnote text"/>
    <w:basedOn w:val="Normal"/>
    <w:link w:val="FootnoteTextChar"/>
    <w:uiPriority w:val="99"/>
    <w:semiHidden/>
    <w:unhideWhenUsed/>
    <w:rsid w:val="00C03CB4"/>
    <w:rPr>
      <w:rFonts w:asciiTheme="minorHAnsi" w:eastAsiaTheme="minorHAnsi" w:hAnsiTheme="minorHAnsi" w:cstheme="minorBidi"/>
      <w:sz w:val="20"/>
      <w:szCs w:val="20"/>
      <w:lang w:val="fr-BE" w:eastAsia="en-US"/>
    </w:rPr>
  </w:style>
  <w:style w:type="character" w:customStyle="1" w:styleId="FootnoteTextChar">
    <w:name w:val="Footnote Text Char"/>
    <w:basedOn w:val="DefaultParagraphFont"/>
    <w:link w:val="FootnoteText"/>
    <w:uiPriority w:val="99"/>
    <w:semiHidden/>
    <w:rsid w:val="00C03CB4"/>
    <w:rPr>
      <w:sz w:val="20"/>
      <w:szCs w:val="20"/>
      <w:lang w:val="fr-BE"/>
    </w:rPr>
  </w:style>
  <w:style w:type="character" w:styleId="FootnoteReference">
    <w:name w:val="footnote reference"/>
    <w:basedOn w:val="DefaultParagraphFont"/>
    <w:unhideWhenUsed/>
    <w:rsid w:val="00C03CB4"/>
    <w:rPr>
      <w:vertAlign w:val="superscript"/>
    </w:rPr>
  </w:style>
  <w:style w:type="character" w:styleId="Hyperlink">
    <w:name w:val="Hyperlink"/>
    <w:basedOn w:val="DefaultParagraphFont"/>
    <w:uiPriority w:val="99"/>
    <w:unhideWhenUsed/>
    <w:rsid w:val="00C03CB4"/>
    <w:rPr>
      <w:color w:val="0563C1" w:themeColor="hyperlink"/>
      <w:u w:val="single"/>
    </w:rPr>
  </w:style>
  <w:style w:type="paragraph" w:styleId="Header">
    <w:name w:val="header"/>
    <w:basedOn w:val="Normal"/>
    <w:link w:val="HeaderChar"/>
    <w:uiPriority w:val="99"/>
    <w:unhideWhenUsed/>
    <w:rsid w:val="001A36DD"/>
    <w:pPr>
      <w:tabs>
        <w:tab w:val="center" w:pos="4680"/>
        <w:tab w:val="right" w:pos="9360"/>
      </w:tabs>
    </w:pPr>
  </w:style>
  <w:style w:type="character" w:customStyle="1" w:styleId="HeaderChar">
    <w:name w:val="Header Char"/>
    <w:basedOn w:val="DefaultParagraphFont"/>
    <w:link w:val="Header"/>
    <w:uiPriority w:val="99"/>
    <w:rsid w:val="001A36DD"/>
    <w:rPr>
      <w:rFonts w:ascii="Times New Roman" w:eastAsia="Times New Roman" w:hAnsi="Times New Roman" w:cs="Times New Roman"/>
      <w:lang w:val="fr-FR" w:eastAsia="fr-FR"/>
    </w:rPr>
  </w:style>
  <w:style w:type="paragraph" w:styleId="Footer">
    <w:name w:val="footer"/>
    <w:basedOn w:val="Normal"/>
    <w:link w:val="FooterChar"/>
    <w:uiPriority w:val="99"/>
    <w:unhideWhenUsed/>
    <w:rsid w:val="001A36DD"/>
    <w:pPr>
      <w:tabs>
        <w:tab w:val="center" w:pos="4680"/>
        <w:tab w:val="right" w:pos="9360"/>
      </w:tabs>
    </w:pPr>
  </w:style>
  <w:style w:type="character" w:customStyle="1" w:styleId="FooterChar">
    <w:name w:val="Footer Char"/>
    <w:basedOn w:val="DefaultParagraphFont"/>
    <w:link w:val="Footer"/>
    <w:uiPriority w:val="99"/>
    <w:rsid w:val="001A36DD"/>
    <w:rPr>
      <w:rFonts w:ascii="Times New Roman" w:eastAsia="Times New Roman" w:hAnsi="Times New Roman"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1664</Words>
  <Characters>9552</Characters>
  <Application>Microsoft Office Word</Application>
  <DocSecurity>0</DocSecurity>
  <Lines>191</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unbr@unbr.ro</dc:creator>
  <cp:lastModifiedBy>Sandu Gherasim</cp:lastModifiedBy>
  <cp:revision>5</cp:revision>
  <dcterms:created xsi:type="dcterms:W3CDTF">2017-06-06T16:24:00Z</dcterms:created>
  <dcterms:modified xsi:type="dcterms:W3CDTF">2017-06-06T16:44:00Z</dcterms:modified>
</cp:coreProperties>
</file>