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F5046" w14:textId="77777777" w:rsidR="00305F33" w:rsidRPr="008951C4" w:rsidRDefault="00305F33" w:rsidP="008951C4">
      <w:pPr>
        <w:pStyle w:val="Title"/>
        <w:spacing w:line="276" w:lineRule="auto"/>
        <w:rPr>
          <w:rFonts w:ascii="Verdana" w:hAnsi="Verdana" w:cs="Tahoma"/>
          <w:sz w:val="30"/>
          <w:szCs w:val="30"/>
        </w:rPr>
      </w:pPr>
      <w:r w:rsidRPr="008951C4">
        <w:rPr>
          <w:rFonts w:ascii="Verdana" w:hAnsi="Verdana" w:cs="Tahoma"/>
          <w:sz w:val="30"/>
          <w:szCs w:val="30"/>
        </w:rPr>
        <w:t>UNIUNEA NAŢIONALĂ A BAROURILOR DIN ROMÂNIA</w:t>
      </w:r>
    </w:p>
    <w:p w14:paraId="03077822" w14:textId="77777777" w:rsidR="00305F33" w:rsidRPr="008951C4" w:rsidRDefault="00305F33" w:rsidP="008951C4">
      <w:pPr>
        <w:pStyle w:val="Title"/>
        <w:spacing w:line="276" w:lineRule="auto"/>
        <w:rPr>
          <w:rFonts w:ascii="Verdana" w:hAnsi="Verdana" w:cs="Tahoma"/>
          <w:sz w:val="30"/>
          <w:szCs w:val="30"/>
        </w:rPr>
      </w:pPr>
      <w:r w:rsidRPr="008951C4">
        <w:rPr>
          <w:rFonts w:ascii="Verdana" w:hAnsi="Verdana" w:cs="Tahoma"/>
          <w:sz w:val="30"/>
          <w:szCs w:val="30"/>
        </w:rPr>
        <w:t>Comisia Permanentă</w:t>
      </w:r>
    </w:p>
    <w:p w14:paraId="509856A4" w14:textId="77777777" w:rsidR="00305F33" w:rsidRPr="00305F33" w:rsidRDefault="00305F33" w:rsidP="008951C4">
      <w:pPr>
        <w:pStyle w:val="Title"/>
        <w:spacing w:line="276" w:lineRule="auto"/>
        <w:rPr>
          <w:rFonts w:ascii="Verdana" w:hAnsi="Verdana" w:cs="Tahoma"/>
          <w:sz w:val="24"/>
          <w:szCs w:val="24"/>
        </w:rPr>
      </w:pPr>
    </w:p>
    <w:p w14:paraId="7F40A473" w14:textId="77777777" w:rsidR="00305F33" w:rsidRDefault="00305F33" w:rsidP="008951C4">
      <w:pPr>
        <w:pStyle w:val="Title"/>
        <w:spacing w:line="276" w:lineRule="auto"/>
        <w:rPr>
          <w:rFonts w:ascii="Verdana" w:hAnsi="Verdana" w:cs="Tahoma"/>
          <w:sz w:val="24"/>
          <w:szCs w:val="24"/>
        </w:rPr>
      </w:pPr>
    </w:p>
    <w:p w14:paraId="27B5523E" w14:textId="77777777" w:rsidR="008951C4" w:rsidRPr="00305F33" w:rsidRDefault="008951C4" w:rsidP="008951C4">
      <w:pPr>
        <w:pStyle w:val="Title"/>
        <w:spacing w:line="276" w:lineRule="auto"/>
        <w:rPr>
          <w:rFonts w:ascii="Verdana" w:hAnsi="Verdana" w:cs="Tahoma"/>
          <w:sz w:val="24"/>
          <w:szCs w:val="24"/>
        </w:rPr>
      </w:pPr>
    </w:p>
    <w:p w14:paraId="6DF1BC92" w14:textId="0A4F341B" w:rsidR="00305F33" w:rsidRPr="008951C4" w:rsidRDefault="00305F33" w:rsidP="008951C4">
      <w:pPr>
        <w:pStyle w:val="Title"/>
        <w:spacing w:line="276" w:lineRule="auto"/>
        <w:rPr>
          <w:rFonts w:ascii="Verdana" w:hAnsi="Verdana" w:cs="Tahoma"/>
          <w:sz w:val="28"/>
          <w:szCs w:val="28"/>
          <w:u w:val="single"/>
        </w:rPr>
      </w:pPr>
      <w:r w:rsidRPr="008951C4">
        <w:rPr>
          <w:rFonts w:ascii="Verdana" w:hAnsi="Verdana" w:cs="Tahoma"/>
          <w:sz w:val="28"/>
          <w:szCs w:val="28"/>
          <w:u w:val="single"/>
        </w:rPr>
        <w:t>DECIZIA nr.</w:t>
      </w:r>
      <w:r w:rsidR="00A65AE8">
        <w:rPr>
          <w:rFonts w:ascii="Verdana" w:hAnsi="Verdana" w:cs="Tahoma"/>
          <w:sz w:val="28"/>
          <w:szCs w:val="28"/>
          <w:u w:val="single"/>
        </w:rPr>
        <w:t xml:space="preserve"> 253</w:t>
      </w:r>
      <w:r w:rsidRPr="008951C4">
        <w:rPr>
          <w:rFonts w:ascii="Verdana" w:hAnsi="Verdana" w:cs="Tahoma"/>
          <w:sz w:val="28"/>
          <w:szCs w:val="28"/>
          <w:u w:val="single"/>
        </w:rPr>
        <w:t xml:space="preserve"> </w:t>
      </w:r>
    </w:p>
    <w:p w14:paraId="6DDC2359" w14:textId="79429283" w:rsidR="00305F33" w:rsidRPr="008951C4" w:rsidRDefault="008F3F4D" w:rsidP="008951C4">
      <w:pPr>
        <w:pStyle w:val="Title"/>
        <w:spacing w:line="276" w:lineRule="auto"/>
        <w:rPr>
          <w:rFonts w:ascii="Verdana" w:hAnsi="Verdana" w:cs="Tahoma"/>
          <w:i/>
          <w:iCs/>
          <w:sz w:val="28"/>
          <w:szCs w:val="28"/>
        </w:rPr>
      </w:pPr>
      <w:r>
        <w:rPr>
          <w:rFonts w:ascii="Verdana" w:hAnsi="Verdana" w:cs="Tahoma"/>
          <w:i/>
          <w:iCs/>
          <w:sz w:val="28"/>
          <w:szCs w:val="28"/>
        </w:rPr>
        <w:t>1</w:t>
      </w:r>
      <w:r w:rsidR="001A3241" w:rsidRPr="008951C4">
        <w:rPr>
          <w:rFonts w:ascii="Verdana" w:hAnsi="Verdana" w:cs="Tahoma"/>
          <w:i/>
          <w:iCs/>
          <w:sz w:val="28"/>
          <w:szCs w:val="28"/>
        </w:rPr>
        <w:t>2</w:t>
      </w:r>
      <w:r w:rsidR="00305F33" w:rsidRPr="008951C4">
        <w:rPr>
          <w:rFonts w:ascii="Verdana" w:hAnsi="Verdana" w:cs="Tahoma"/>
          <w:i/>
          <w:iCs/>
          <w:sz w:val="28"/>
          <w:szCs w:val="28"/>
        </w:rPr>
        <w:t xml:space="preserve"> </w:t>
      </w:r>
      <w:r>
        <w:rPr>
          <w:rFonts w:ascii="Verdana" w:hAnsi="Verdana" w:cs="Tahoma"/>
          <w:i/>
          <w:iCs/>
          <w:sz w:val="28"/>
          <w:szCs w:val="28"/>
        </w:rPr>
        <w:t>decembrie</w:t>
      </w:r>
      <w:r w:rsidR="000C676D" w:rsidRPr="008951C4">
        <w:rPr>
          <w:rFonts w:ascii="Verdana" w:hAnsi="Verdana" w:cs="Tahoma"/>
          <w:i/>
          <w:iCs/>
          <w:sz w:val="28"/>
          <w:szCs w:val="28"/>
        </w:rPr>
        <w:t xml:space="preserve"> </w:t>
      </w:r>
      <w:r w:rsidR="00305F33" w:rsidRPr="008951C4">
        <w:rPr>
          <w:rFonts w:ascii="Verdana" w:hAnsi="Verdana" w:cs="Tahoma"/>
          <w:i/>
          <w:iCs/>
          <w:sz w:val="28"/>
          <w:szCs w:val="28"/>
        </w:rPr>
        <w:t>20</w:t>
      </w:r>
      <w:r w:rsidR="00956F15">
        <w:rPr>
          <w:rFonts w:ascii="Verdana" w:hAnsi="Verdana" w:cs="Tahoma"/>
          <w:i/>
          <w:iCs/>
          <w:sz w:val="28"/>
          <w:szCs w:val="28"/>
        </w:rPr>
        <w:t>24</w:t>
      </w:r>
    </w:p>
    <w:p w14:paraId="317A9D07" w14:textId="77777777" w:rsidR="008951C4" w:rsidRPr="008951C4" w:rsidRDefault="00305F33" w:rsidP="008951C4">
      <w:pPr>
        <w:pStyle w:val="Title"/>
        <w:spacing w:line="276" w:lineRule="auto"/>
        <w:rPr>
          <w:rFonts w:ascii="Verdana" w:hAnsi="Verdana"/>
          <w:i/>
          <w:iCs/>
          <w:sz w:val="24"/>
          <w:szCs w:val="24"/>
        </w:rPr>
      </w:pPr>
      <w:r w:rsidRPr="008951C4">
        <w:rPr>
          <w:rFonts w:ascii="Verdana" w:hAnsi="Verdana"/>
          <w:i/>
          <w:iCs/>
          <w:sz w:val="24"/>
          <w:szCs w:val="24"/>
        </w:rPr>
        <w:t xml:space="preserve">privind începerea anului II </w:t>
      </w:r>
    </w:p>
    <w:p w14:paraId="4D317165" w14:textId="50AEF992" w:rsidR="00C65E90" w:rsidRPr="008951C4" w:rsidRDefault="00305F33" w:rsidP="008951C4">
      <w:pPr>
        <w:pStyle w:val="Title"/>
        <w:spacing w:line="276" w:lineRule="auto"/>
        <w:rPr>
          <w:rFonts w:ascii="Verdana" w:hAnsi="Verdana" w:cs="Tahoma"/>
          <w:b w:val="0"/>
          <w:bCs/>
          <w:i/>
          <w:iCs/>
          <w:sz w:val="24"/>
          <w:szCs w:val="24"/>
        </w:rPr>
      </w:pPr>
      <w:r w:rsidRPr="008951C4">
        <w:rPr>
          <w:rFonts w:ascii="Verdana" w:hAnsi="Verdana"/>
          <w:i/>
          <w:iCs/>
          <w:sz w:val="24"/>
          <w:szCs w:val="24"/>
        </w:rPr>
        <w:t xml:space="preserve">de pregătire profesională inițială </w:t>
      </w:r>
      <w:r w:rsidR="00175FAD" w:rsidRPr="008951C4">
        <w:rPr>
          <w:rFonts w:ascii="Verdana" w:hAnsi="Verdana"/>
          <w:i/>
          <w:iCs/>
          <w:sz w:val="24"/>
          <w:szCs w:val="24"/>
        </w:rPr>
        <w:t>– ciclul 202</w:t>
      </w:r>
      <w:r w:rsidR="008F3F4D">
        <w:rPr>
          <w:rFonts w:ascii="Verdana" w:hAnsi="Verdana"/>
          <w:i/>
          <w:iCs/>
          <w:sz w:val="24"/>
          <w:szCs w:val="24"/>
        </w:rPr>
        <w:t>5</w:t>
      </w:r>
    </w:p>
    <w:p w14:paraId="7CD81B36" w14:textId="77777777" w:rsidR="00C65E90" w:rsidRDefault="00C65E90" w:rsidP="008951C4">
      <w:pPr>
        <w:spacing w:line="276" w:lineRule="auto"/>
        <w:jc w:val="center"/>
        <w:rPr>
          <w:rFonts w:ascii="Verdana" w:hAnsi="Verdana" w:cs="Tahoma"/>
          <w:b/>
          <w:bCs/>
          <w:i/>
          <w:iCs/>
          <w:u w:val="single"/>
        </w:rPr>
      </w:pPr>
    </w:p>
    <w:p w14:paraId="47DF0F00" w14:textId="77777777" w:rsidR="00C65E90" w:rsidRPr="00305F33" w:rsidRDefault="00C65E90" w:rsidP="008951C4">
      <w:pPr>
        <w:spacing w:line="276" w:lineRule="auto"/>
        <w:jc w:val="center"/>
        <w:rPr>
          <w:rFonts w:ascii="Verdana" w:hAnsi="Verdana"/>
          <w:b/>
        </w:rPr>
      </w:pPr>
    </w:p>
    <w:p w14:paraId="336F81DF" w14:textId="6FFCF59C" w:rsidR="000C676D" w:rsidRPr="000C676D" w:rsidRDefault="00F632CA" w:rsidP="008951C4">
      <w:pPr>
        <w:spacing w:line="276" w:lineRule="auto"/>
        <w:ind w:firstLine="720"/>
        <w:jc w:val="both"/>
        <w:rPr>
          <w:rFonts w:ascii="Verdana" w:hAnsi="Verdana"/>
          <w:i/>
        </w:rPr>
      </w:pPr>
      <w:r w:rsidRPr="000C676D">
        <w:rPr>
          <w:rFonts w:ascii="Verdana" w:hAnsi="Verdana"/>
          <w:i/>
        </w:rPr>
        <w:t xml:space="preserve">În conformitate cu </w:t>
      </w:r>
      <w:r w:rsidR="009A7D7B" w:rsidRPr="000C676D">
        <w:rPr>
          <w:rFonts w:ascii="Verdana" w:hAnsi="Verdana"/>
          <w:i/>
        </w:rPr>
        <w:t>dispozițiile</w:t>
      </w:r>
      <w:r w:rsidR="0068716F" w:rsidRPr="000C676D">
        <w:rPr>
          <w:rFonts w:ascii="Verdana" w:hAnsi="Verdana"/>
          <w:i/>
        </w:rPr>
        <w:t xml:space="preserve"> </w:t>
      </w:r>
      <w:r w:rsidR="008951C4">
        <w:rPr>
          <w:rFonts w:ascii="Verdana" w:hAnsi="Verdana"/>
          <w:i/>
        </w:rPr>
        <w:t xml:space="preserve">art. 67 alin. (1) lit. h) și alin. (3) din Legea nr. 51/1995 pentru organizarea și exercitarea profesiei de avocat, republicată, cu modificările și completările ulterioare, ale </w:t>
      </w:r>
      <w:r w:rsidR="0068716F" w:rsidRPr="000C676D">
        <w:rPr>
          <w:rFonts w:ascii="Verdana" w:hAnsi="Verdana"/>
          <w:i/>
        </w:rPr>
        <w:t>art. 299 alin. (5)</w:t>
      </w:r>
      <w:r w:rsidR="008A4503" w:rsidRPr="000C676D">
        <w:rPr>
          <w:rFonts w:ascii="Verdana" w:hAnsi="Verdana"/>
          <w:i/>
        </w:rPr>
        <w:t xml:space="preserve">, </w:t>
      </w:r>
      <w:r w:rsidR="009A7D7B" w:rsidRPr="000C676D">
        <w:rPr>
          <w:rFonts w:ascii="Verdana" w:hAnsi="Verdana"/>
          <w:i/>
        </w:rPr>
        <w:t>și</w:t>
      </w:r>
      <w:r w:rsidR="00EE5B1C" w:rsidRPr="000C676D">
        <w:rPr>
          <w:rFonts w:ascii="Verdana" w:hAnsi="Verdana"/>
          <w:i/>
        </w:rPr>
        <w:t xml:space="preserve"> art. 312 alin (1) lit. a) </w:t>
      </w:r>
      <w:r w:rsidRPr="000C676D">
        <w:rPr>
          <w:rFonts w:ascii="Verdana" w:hAnsi="Verdana"/>
          <w:i/>
        </w:rPr>
        <w:t xml:space="preserve">din Statutul profesiei de avocat, </w:t>
      </w:r>
      <w:r w:rsidR="008A4503" w:rsidRPr="000C676D">
        <w:rPr>
          <w:rFonts w:ascii="Verdana" w:hAnsi="Verdana"/>
          <w:i/>
        </w:rPr>
        <w:t xml:space="preserve">precum și cu cele ale art. 311 alin. (4) </w:t>
      </w:r>
      <w:r w:rsidR="000C676D" w:rsidRPr="000C676D">
        <w:rPr>
          <w:rFonts w:ascii="Verdana" w:hAnsi="Verdana"/>
          <w:i/>
        </w:rPr>
        <w:t>din Statu</w:t>
      </w:r>
      <w:r w:rsidR="008F3F4D">
        <w:rPr>
          <w:rFonts w:ascii="Verdana" w:hAnsi="Verdana"/>
          <w:i/>
        </w:rPr>
        <w:t>t</w:t>
      </w:r>
      <w:r w:rsidR="000C676D" w:rsidRPr="000C676D">
        <w:rPr>
          <w:rFonts w:ascii="Verdana" w:hAnsi="Verdana"/>
          <w:i/>
        </w:rPr>
        <w:t xml:space="preserve">ul profesiei de avocat </w:t>
      </w:r>
      <w:r w:rsidR="008A4503" w:rsidRPr="000C676D">
        <w:rPr>
          <w:rFonts w:ascii="Verdana" w:hAnsi="Verdana"/>
          <w:i/>
        </w:rPr>
        <w:t xml:space="preserve">coroborat </w:t>
      </w:r>
      <w:r w:rsidR="000C676D" w:rsidRPr="000C676D">
        <w:rPr>
          <w:rFonts w:ascii="Verdana" w:hAnsi="Verdana"/>
          <w:i/>
        </w:rPr>
        <w:t>cu prevederile art. 10 alin. (1) lit. a) din Statutul I.N.P.P.A.,</w:t>
      </w:r>
    </w:p>
    <w:p w14:paraId="571B24A9" w14:textId="7F486DB7" w:rsidR="00F632CA" w:rsidRPr="000C676D" w:rsidRDefault="000C676D" w:rsidP="008951C4">
      <w:pPr>
        <w:spacing w:line="276" w:lineRule="auto"/>
        <w:ind w:firstLine="720"/>
        <w:jc w:val="both"/>
        <w:rPr>
          <w:rFonts w:ascii="Verdana" w:hAnsi="Verdana"/>
          <w:i/>
        </w:rPr>
      </w:pPr>
      <w:r w:rsidRPr="000C676D">
        <w:rPr>
          <w:rFonts w:ascii="Verdana" w:hAnsi="Verdana"/>
          <w:i/>
        </w:rPr>
        <w:t xml:space="preserve">În temeiul </w:t>
      </w:r>
      <w:r w:rsidR="009A7D7B" w:rsidRPr="000C676D">
        <w:rPr>
          <w:rFonts w:ascii="Verdana" w:hAnsi="Verdana"/>
          <w:i/>
        </w:rPr>
        <w:t>dispozițiil</w:t>
      </w:r>
      <w:r w:rsidRPr="000C676D">
        <w:rPr>
          <w:rFonts w:ascii="Verdana" w:hAnsi="Verdana"/>
          <w:i/>
        </w:rPr>
        <w:t>or</w:t>
      </w:r>
      <w:r w:rsidR="00F632CA" w:rsidRPr="000C676D">
        <w:rPr>
          <w:rFonts w:ascii="Verdana" w:hAnsi="Verdana"/>
          <w:i/>
        </w:rPr>
        <w:t xml:space="preserve"> art. </w:t>
      </w:r>
      <w:r w:rsidRPr="000C676D">
        <w:rPr>
          <w:rFonts w:ascii="Verdana" w:hAnsi="Verdana"/>
          <w:i/>
        </w:rPr>
        <w:t>4</w:t>
      </w:r>
      <w:r w:rsidR="001A277B" w:rsidRPr="000C676D">
        <w:rPr>
          <w:rFonts w:ascii="Verdana" w:hAnsi="Verdana"/>
          <w:i/>
        </w:rPr>
        <w:t xml:space="preserve"> alin. (1) </w:t>
      </w:r>
      <w:r w:rsidR="009A7D7B" w:rsidRPr="000C676D">
        <w:rPr>
          <w:rFonts w:ascii="Verdana" w:hAnsi="Verdana"/>
          <w:i/>
        </w:rPr>
        <w:t>și</w:t>
      </w:r>
      <w:r w:rsidR="001A277B" w:rsidRPr="000C676D">
        <w:rPr>
          <w:rFonts w:ascii="Verdana" w:hAnsi="Verdana"/>
          <w:i/>
        </w:rPr>
        <w:t xml:space="preserve"> </w:t>
      </w:r>
      <w:r w:rsidRPr="000C676D">
        <w:rPr>
          <w:rFonts w:ascii="Verdana" w:hAnsi="Verdana"/>
          <w:i/>
        </w:rPr>
        <w:t xml:space="preserve">alin. </w:t>
      </w:r>
      <w:r w:rsidR="001A277B" w:rsidRPr="000C676D">
        <w:rPr>
          <w:rFonts w:ascii="Verdana" w:hAnsi="Verdana"/>
          <w:i/>
        </w:rPr>
        <w:t xml:space="preserve">(2) lit. a), art. 7 alin. (1) lit. b) </w:t>
      </w:r>
      <w:r w:rsidRPr="000C676D">
        <w:rPr>
          <w:rFonts w:ascii="Verdana" w:hAnsi="Verdana"/>
          <w:i/>
        </w:rPr>
        <w:t xml:space="preserve">și </w:t>
      </w:r>
      <w:r w:rsidR="001A277B" w:rsidRPr="000C676D">
        <w:rPr>
          <w:rFonts w:ascii="Verdana" w:hAnsi="Verdana"/>
          <w:i/>
        </w:rPr>
        <w:t xml:space="preserve">art. </w:t>
      </w:r>
      <w:r w:rsidR="00F632CA" w:rsidRPr="000C676D">
        <w:rPr>
          <w:rFonts w:ascii="Verdana" w:hAnsi="Verdana"/>
          <w:i/>
        </w:rPr>
        <w:t>1</w:t>
      </w:r>
      <w:r w:rsidRPr="000C676D">
        <w:rPr>
          <w:rFonts w:ascii="Verdana" w:hAnsi="Verdana"/>
          <w:i/>
        </w:rPr>
        <w:t>4</w:t>
      </w:r>
      <w:r w:rsidR="00FF5FFA" w:rsidRPr="000C676D">
        <w:rPr>
          <w:rFonts w:ascii="Verdana" w:hAnsi="Verdana"/>
          <w:i/>
        </w:rPr>
        <w:t xml:space="preserve"> lit. </w:t>
      </w:r>
      <w:r w:rsidRPr="000C676D">
        <w:rPr>
          <w:rFonts w:ascii="Verdana" w:hAnsi="Verdana"/>
          <w:i/>
        </w:rPr>
        <w:t>g</w:t>
      </w:r>
      <w:r w:rsidR="00117082" w:rsidRPr="000C676D">
        <w:rPr>
          <w:rFonts w:ascii="Verdana" w:hAnsi="Verdana"/>
          <w:i/>
        </w:rPr>
        <w:t xml:space="preserve">) </w:t>
      </w:r>
      <w:r w:rsidR="009A7D7B" w:rsidRPr="000C676D">
        <w:rPr>
          <w:rFonts w:ascii="Verdana" w:hAnsi="Verdana"/>
          <w:i/>
        </w:rPr>
        <w:t>și</w:t>
      </w:r>
      <w:r w:rsidR="00117082" w:rsidRPr="000C676D">
        <w:rPr>
          <w:rFonts w:ascii="Verdana" w:hAnsi="Verdana"/>
          <w:i/>
        </w:rPr>
        <w:t xml:space="preserve"> </w:t>
      </w:r>
      <w:r w:rsidRPr="000C676D">
        <w:rPr>
          <w:rFonts w:ascii="Verdana" w:hAnsi="Verdana"/>
          <w:i/>
        </w:rPr>
        <w:t>r</w:t>
      </w:r>
      <w:r w:rsidR="00FF5FFA" w:rsidRPr="000C676D">
        <w:rPr>
          <w:rFonts w:ascii="Verdana" w:hAnsi="Verdana"/>
          <w:i/>
        </w:rPr>
        <w:t>)</w:t>
      </w:r>
      <w:r w:rsidR="00F632CA" w:rsidRPr="000C676D">
        <w:rPr>
          <w:rFonts w:ascii="Verdana" w:hAnsi="Verdana"/>
          <w:i/>
        </w:rPr>
        <w:t xml:space="preserve"> din Statutul </w:t>
      </w:r>
      <w:r w:rsidR="00A95340" w:rsidRPr="000C676D">
        <w:rPr>
          <w:rFonts w:ascii="Verdana" w:hAnsi="Verdana"/>
          <w:i/>
        </w:rPr>
        <w:t xml:space="preserve">Institutului </w:t>
      </w:r>
      <w:r w:rsidR="009A7D7B" w:rsidRPr="000C676D">
        <w:rPr>
          <w:rFonts w:ascii="Verdana" w:hAnsi="Verdana"/>
          <w:i/>
        </w:rPr>
        <w:t>Național</w:t>
      </w:r>
      <w:r w:rsidR="00A95340" w:rsidRPr="000C676D">
        <w:rPr>
          <w:rFonts w:ascii="Verdana" w:hAnsi="Verdana"/>
          <w:i/>
        </w:rPr>
        <w:t xml:space="preserve"> pentru Pregătirea </w:t>
      </w:r>
      <w:r w:rsidR="009A7D7B" w:rsidRPr="000C676D">
        <w:rPr>
          <w:rFonts w:ascii="Verdana" w:hAnsi="Verdana"/>
          <w:i/>
        </w:rPr>
        <w:t>și</w:t>
      </w:r>
      <w:r w:rsidR="00A95340" w:rsidRPr="000C676D">
        <w:rPr>
          <w:rFonts w:ascii="Verdana" w:hAnsi="Verdana"/>
          <w:i/>
        </w:rPr>
        <w:t xml:space="preserve"> </w:t>
      </w:r>
      <w:r w:rsidR="009A7D7B" w:rsidRPr="000C676D">
        <w:rPr>
          <w:rFonts w:ascii="Verdana" w:hAnsi="Verdana"/>
          <w:i/>
        </w:rPr>
        <w:t>Perfecționarea</w:t>
      </w:r>
      <w:r w:rsidR="00A95340" w:rsidRPr="000C676D">
        <w:rPr>
          <w:rFonts w:ascii="Verdana" w:hAnsi="Verdana"/>
          <w:i/>
        </w:rPr>
        <w:t xml:space="preserve"> </w:t>
      </w:r>
      <w:r w:rsidR="009A7D7B" w:rsidRPr="000C676D">
        <w:rPr>
          <w:rFonts w:ascii="Verdana" w:hAnsi="Verdana"/>
          <w:i/>
        </w:rPr>
        <w:t>Avocaților</w:t>
      </w:r>
      <w:r w:rsidR="00862359" w:rsidRPr="000C676D">
        <w:rPr>
          <w:rFonts w:ascii="Verdana" w:hAnsi="Verdana"/>
          <w:i/>
        </w:rPr>
        <w:t xml:space="preserve"> (I.N.P.P.A.)</w:t>
      </w:r>
      <w:r w:rsidR="00F632CA" w:rsidRPr="000C676D">
        <w:rPr>
          <w:rFonts w:ascii="Verdana" w:hAnsi="Verdana"/>
          <w:i/>
        </w:rPr>
        <w:t xml:space="preserve">, </w:t>
      </w:r>
    </w:p>
    <w:p w14:paraId="475A5BD5" w14:textId="17F59CC2" w:rsidR="00F632CA" w:rsidRPr="000C676D" w:rsidRDefault="00862359" w:rsidP="008951C4">
      <w:pPr>
        <w:spacing w:line="276" w:lineRule="auto"/>
        <w:ind w:firstLine="720"/>
        <w:jc w:val="both"/>
        <w:rPr>
          <w:rFonts w:ascii="Verdana" w:hAnsi="Verdana"/>
          <w:i/>
        </w:rPr>
      </w:pPr>
      <w:r w:rsidRPr="000C676D">
        <w:rPr>
          <w:rFonts w:ascii="Verdana" w:hAnsi="Verdana"/>
          <w:i/>
        </w:rPr>
        <w:t>Î</w:t>
      </w:r>
      <w:r w:rsidR="00F632CA" w:rsidRPr="000C676D">
        <w:rPr>
          <w:rFonts w:ascii="Verdana" w:hAnsi="Verdana"/>
          <w:i/>
        </w:rPr>
        <w:t xml:space="preserve">n acord cu prevederile art. 14 din Regulamentul de Organizare </w:t>
      </w:r>
      <w:r w:rsidR="009A7D7B" w:rsidRPr="000C676D">
        <w:rPr>
          <w:rFonts w:ascii="Verdana" w:hAnsi="Verdana"/>
          <w:i/>
        </w:rPr>
        <w:t>și</w:t>
      </w:r>
      <w:r w:rsidR="00F632CA" w:rsidRPr="000C676D">
        <w:rPr>
          <w:rFonts w:ascii="Verdana" w:hAnsi="Verdana"/>
          <w:i/>
        </w:rPr>
        <w:t xml:space="preserve"> </w:t>
      </w:r>
      <w:r w:rsidR="009A7D7B" w:rsidRPr="000C676D">
        <w:rPr>
          <w:rFonts w:ascii="Verdana" w:hAnsi="Verdana"/>
          <w:i/>
        </w:rPr>
        <w:t>Funcționare</w:t>
      </w:r>
      <w:r w:rsidR="00F632CA" w:rsidRPr="000C676D">
        <w:rPr>
          <w:rFonts w:ascii="Verdana" w:hAnsi="Verdana"/>
          <w:i/>
        </w:rPr>
        <w:t xml:space="preserve"> al I</w:t>
      </w:r>
      <w:r w:rsidRPr="000C676D">
        <w:rPr>
          <w:rFonts w:ascii="Verdana" w:hAnsi="Verdana"/>
          <w:i/>
        </w:rPr>
        <w:t>.</w:t>
      </w:r>
      <w:r w:rsidR="00F632CA" w:rsidRPr="000C676D">
        <w:rPr>
          <w:rFonts w:ascii="Verdana" w:hAnsi="Verdana"/>
          <w:i/>
        </w:rPr>
        <w:t>N</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A</w:t>
      </w:r>
      <w:r w:rsidRPr="000C676D">
        <w:rPr>
          <w:rFonts w:ascii="Verdana" w:hAnsi="Verdana"/>
          <w:i/>
        </w:rPr>
        <w:t>.</w:t>
      </w:r>
      <w:r w:rsidR="00F632CA" w:rsidRPr="000C676D">
        <w:rPr>
          <w:rFonts w:ascii="Verdana" w:hAnsi="Verdana"/>
          <w:i/>
        </w:rPr>
        <w:t>,</w:t>
      </w:r>
    </w:p>
    <w:p w14:paraId="4143E82B" w14:textId="77777777" w:rsidR="00862359" w:rsidRPr="000C676D" w:rsidRDefault="00547A20" w:rsidP="008951C4">
      <w:pPr>
        <w:spacing w:line="276" w:lineRule="auto"/>
        <w:jc w:val="both"/>
        <w:rPr>
          <w:rFonts w:ascii="Verdana" w:hAnsi="Verdana"/>
          <w:i/>
        </w:rPr>
      </w:pPr>
      <w:r w:rsidRPr="000C676D">
        <w:rPr>
          <w:rFonts w:ascii="Verdana" w:hAnsi="Verdana"/>
          <w:i/>
        </w:rPr>
        <w:tab/>
      </w:r>
    </w:p>
    <w:p w14:paraId="652E99C1" w14:textId="3CE27978" w:rsidR="00C65E90" w:rsidRPr="000C676D" w:rsidRDefault="00C65E90" w:rsidP="008951C4">
      <w:pPr>
        <w:spacing w:line="276" w:lineRule="auto"/>
        <w:ind w:firstLine="720"/>
        <w:jc w:val="both"/>
        <w:rPr>
          <w:rFonts w:ascii="Verdana" w:hAnsi="Verdana"/>
          <w:i/>
        </w:rPr>
      </w:pPr>
      <w:r w:rsidRPr="000C676D">
        <w:rPr>
          <w:rFonts w:ascii="Verdana" w:hAnsi="Verdana"/>
          <w:i/>
        </w:rPr>
        <w:t>Co</w:t>
      </w:r>
      <w:r w:rsidR="000C676D" w:rsidRPr="000C676D">
        <w:rPr>
          <w:rFonts w:ascii="Verdana" w:hAnsi="Verdana"/>
          <w:i/>
        </w:rPr>
        <w:t xml:space="preserve">misia Permanentă, în ședința sa din </w:t>
      </w:r>
      <w:r w:rsidR="008F3F4D">
        <w:rPr>
          <w:rFonts w:ascii="Verdana" w:hAnsi="Verdana"/>
          <w:i/>
        </w:rPr>
        <w:t>1</w:t>
      </w:r>
      <w:r w:rsidR="001A3241">
        <w:rPr>
          <w:rFonts w:ascii="Verdana" w:hAnsi="Verdana"/>
          <w:i/>
        </w:rPr>
        <w:t>2</w:t>
      </w:r>
      <w:r w:rsidR="000C676D" w:rsidRPr="000C676D">
        <w:rPr>
          <w:rFonts w:ascii="Verdana" w:hAnsi="Verdana"/>
          <w:i/>
        </w:rPr>
        <w:t xml:space="preserve"> </w:t>
      </w:r>
      <w:r w:rsidR="008F3F4D">
        <w:rPr>
          <w:rFonts w:ascii="Verdana" w:hAnsi="Verdana"/>
          <w:i/>
        </w:rPr>
        <w:t>decem</w:t>
      </w:r>
      <w:r w:rsidR="000C676D" w:rsidRPr="000C676D">
        <w:rPr>
          <w:rFonts w:ascii="Verdana" w:hAnsi="Verdana"/>
          <w:i/>
        </w:rPr>
        <w:t>brie 202</w:t>
      </w:r>
      <w:r w:rsidR="00956F15">
        <w:rPr>
          <w:rFonts w:ascii="Verdana" w:hAnsi="Verdana"/>
          <w:i/>
        </w:rPr>
        <w:t>4</w:t>
      </w:r>
      <w:r w:rsidR="006D3CEC">
        <w:rPr>
          <w:rFonts w:ascii="Verdana" w:hAnsi="Verdana"/>
          <w:i/>
        </w:rPr>
        <w:t>,</w:t>
      </w:r>
      <w:r w:rsidR="00F632CA" w:rsidRPr="000C676D">
        <w:rPr>
          <w:rFonts w:ascii="Verdana" w:hAnsi="Verdana"/>
          <w:i/>
        </w:rPr>
        <w:t xml:space="preserve"> </w:t>
      </w:r>
    </w:p>
    <w:p w14:paraId="630BD532" w14:textId="77777777" w:rsidR="008951C4" w:rsidRDefault="008951C4" w:rsidP="008951C4">
      <w:pPr>
        <w:spacing w:line="276" w:lineRule="auto"/>
        <w:jc w:val="center"/>
        <w:rPr>
          <w:rFonts w:ascii="Verdana" w:hAnsi="Verdana"/>
          <w:sz w:val="28"/>
          <w:szCs w:val="28"/>
        </w:rPr>
      </w:pPr>
    </w:p>
    <w:p w14:paraId="3837E3A0" w14:textId="77777777" w:rsidR="000A0F88" w:rsidRPr="008951C4" w:rsidRDefault="000A0F88" w:rsidP="008951C4">
      <w:pPr>
        <w:spacing w:line="276" w:lineRule="auto"/>
        <w:jc w:val="center"/>
        <w:rPr>
          <w:rFonts w:ascii="Verdana" w:hAnsi="Verdana"/>
          <w:sz w:val="28"/>
          <w:szCs w:val="28"/>
        </w:rPr>
      </w:pPr>
    </w:p>
    <w:p w14:paraId="5A969DF0" w14:textId="0B04B33F" w:rsidR="00C65E90" w:rsidRPr="008951C4" w:rsidRDefault="00A65AE8" w:rsidP="008951C4">
      <w:pPr>
        <w:spacing w:line="276" w:lineRule="auto"/>
        <w:jc w:val="center"/>
        <w:rPr>
          <w:rFonts w:ascii="Verdana" w:hAnsi="Verdana"/>
          <w:b/>
          <w:sz w:val="28"/>
          <w:szCs w:val="28"/>
        </w:rPr>
      </w:pPr>
      <w:r>
        <w:rPr>
          <w:rFonts w:ascii="Verdana" w:hAnsi="Verdana"/>
          <w:b/>
          <w:sz w:val="28"/>
          <w:szCs w:val="28"/>
        </w:rPr>
        <w:t>DECIDE:</w:t>
      </w:r>
    </w:p>
    <w:p w14:paraId="5F35D707" w14:textId="77777777" w:rsidR="00205BB1" w:rsidRDefault="00205BB1" w:rsidP="008951C4">
      <w:pPr>
        <w:spacing w:line="276" w:lineRule="auto"/>
        <w:jc w:val="center"/>
        <w:rPr>
          <w:rFonts w:ascii="Verdana" w:hAnsi="Verdana"/>
          <w:b/>
          <w:sz w:val="28"/>
          <w:szCs w:val="28"/>
        </w:rPr>
      </w:pPr>
    </w:p>
    <w:p w14:paraId="2EFE5E34" w14:textId="77777777" w:rsidR="000A0F88" w:rsidRPr="008951C4" w:rsidRDefault="000A0F88" w:rsidP="008951C4">
      <w:pPr>
        <w:spacing w:line="276" w:lineRule="auto"/>
        <w:jc w:val="center"/>
        <w:rPr>
          <w:rFonts w:ascii="Verdana" w:hAnsi="Verdana"/>
          <w:b/>
          <w:sz w:val="28"/>
          <w:szCs w:val="28"/>
        </w:rPr>
      </w:pPr>
    </w:p>
    <w:p w14:paraId="7DFC8FEC" w14:textId="0AFB9C39" w:rsidR="005114ED" w:rsidRPr="00305F33" w:rsidRDefault="00A95340" w:rsidP="008951C4">
      <w:pPr>
        <w:spacing w:line="276" w:lineRule="auto"/>
        <w:ind w:firstLine="720"/>
        <w:jc w:val="both"/>
        <w:rPr>
          <w:rFonts w:ascii="Verdana" w:hAnsi="Verdana"/>
        </w:rPr>
      </w:pPr>
      <w:r w:rsidRPr="00305F33">
        <w:rPr>
          <w:rFonts w:ascii="Verdana" w:hAnsi="Verdana"/>
          <w:b/>
        </w:rPr>
        <w:t xml:space="preserve">Art. 1. </w:t>
      </w:r>
      <w:r w:rsidR="005114ED" w:rsidRPr="00305F33">
        <w:rPr>
          <w:rFonts w:ascii="Verdana" w:hAnsi="Verdana"/>
          <w:bCs/>
        </w:rPr>
        <w:t>(1)</w:t>
      </w:r>
      <w:r w:rsidR="005114ED" w:rsidRPr="00305F33">
        <w:rPr>
          <w:rFonts w:ascii="Verdana" w:hAnsi="Verdana"/>
          <w:b/>
        </w:rPr>
        <w:t xml:space="preserve"> </w:t>
      </w:r>
      <w:r w:rsidRPr="00305F33">
        <w:rPr>
          <w:rFonts w:ascii="Verdana" w:hAnsi="Verdana"/>
        </w:rPr>
        <w:t>–</w:t>
      </w:r>
      <w:r w:rsidR="00707929" w:rsidRPr="00305F33">
        <w:rPr>
          <w:rFonts w:ascii="Verdana" w:hAnsi="Verdana"/>
        </w:rPr>
        <w:t xml:space="preserve"> </w:t>
      </w:r>
      <w:r w:rsidR="009A7D7B" w:rsidRPr="00305F33">
        <w:rPr>
          <w:rFonts w:ascii="Verdana" w:hAnsi="Verdana"/>
        </w:rPr>
        <w:t>Activitățile</w:t>
      </w:r>
      <w:r w:rsidR="00CC47E9" w:rsidRPr="00305F33">
        <w:rPr>
          <w:rFonts w:ascii="Verdana" w:hAnsi="Verdana"/>
        </w:rPr>
        <w:t xml:space="preserve"> </w:t>
      </w:r>
      <w:r w:rsidR="00514A8D" w:rsidRPr="00305F33">
        <w:rPr>
          <w:rFonts w:ascii="Verdana" w:hAnsi="Verdana"/>
        </w:rPr>
        <w:t xml:space="preserve">de formare </w:t>
      </w:r>
      <w:r w:rsidR="00CC47E9" w:rsidRPr="00305F33">
        <w:rPr>
          <w:rFonts w:ascii="Verdana" w:hAnsi="Verdana"/>
        </w:rPr>
        <w:t>aferente a</w:t>
      </w:r>
      <w:r w:rsidR="00117082" w:rsidRPr="00305F33">
        <w:rPr>
          <w:rFonts w:ascii="Verdana" w:hAnsi="Verdana"/>
        </w:rPr>
        <w:t>nul</w:t>
      </w:r>
      <w:r w:rsidR="00CC47E9" w:rsidRPr="00305F33">
        <w:rPr>
          <w:rFonts w:ascii="Verdana" w:hAnsi="Verdana"/>
        </w:rPr>
        <w:t>ui</w:t>
      </w:r>
      <w:r w:rsidR="00117082" w:rsidRPr="00305F33">
        <w:rPr>
          <w:rFonts w:ascii="Verdana" w:hAnsi="Verdana"/>
        </w:rPr>
        <w:t xml:space="preserve"> II de pregătire profesională </w:t>
      </w:r>
      <w:r w:rsidR="009A7D7B" w:rsidRPr="00305F33">
        <w:rPr>
          <w:rFonts w:ascii="Verdana" w:hAnsi="Verdana"/>
        </w:rPr>
        <w:t>inițială</w:t>
      </w:r>
      <w:r w:rsidR="00117082" w:rsidRPr="00305F33">
        <w:rPr>
          <w:rFonts w:ascii="Verdana" w:hAnsi="Verdana"/>
        </w:rPr>
        <w:t xml:space="preserve"> </w:t>
      </w:r>
      <w:r w:rsidR="000C676D">
        <w:rPr>
          <w:rFonts w:ascii="Verdana" w:hAnsi="Verdana"/>
        </w:rPr>
        <w:t>– cic</w:t>
      </w:r>
      <w:r w:rsidR="00310575">
        <w:rPr>
          <w:rFonts w:ascii="Verdana" w:hAnsi="Verdana"/>
        </w:rPr>
        <w:t>l</w:t>
      </w:r>
      <w:r w:rsidR="000C676D">
        <w:rPr>
          <w:rFonts w:ascii="Verdana" w:hAnsi="Verdana"/>
        </w:rPr>
        <w:t>ul 202</w:t>
      </w:r>
      <w:r w:rsidR="000F03A9">
        <w:rPr>
          <w:rFonts w:ascii="Verdana" w:hAnsi="Verdana"/>
        </w:rPr>
        <w:t>5</w:t>
      </w:r>
      <w:r w:rsidR="000C676D">
        <w:rPr>
          <w:rFonts w:ascii="Verdana" w:hAnsi="Verdana"/>
        </w:rPr>
        <w:t xml:space="preserve"> </w:t>
      </w:r>
      <w:r w:rsidR="00117082" w:rsidRPr="00305F33">
        <w:rPr>
          <w:rFonts w:ascii="Verdana" w:hAnsi="Verdana"/>
        </w:rPr>
        <w:t>v</w:t>
      </w:r>
      <w:r w:rsidR="00CC47E9" w:rsidRPr="00305F33">
        <w:rPr>
          <w:rFonts w:ascii="Verdana" w:hAnsi="Verdana"/>
        </w:rPr>
        <w:t>or</w:t>
      </w:r>
      <w:r w:rsidR="00117082" w:rsidRPr="00305F33">
        <w:rPr>
          <w:rFonts w:ascii="Verdana" w:hAnsi="Verdana"/>
        </w:rPr>
        <w:t xml:space="preserve"> începe la data </w:t>
      </w:r>
      <w:r w:rsidR="000C676D" w:rsidRPr="000C676D">
        <w:rPr>
          <w:rFonts w:ascii="Verdana" w:hAnsi="Verdana"/>
          <w:b/>
        </w:rPr>
        <w:t>2</w:t>
      </w:r>
      <w:r w:rsidR="008F3F4D">
        <w:rPr>
          <w:rFonts w:ascii="Verdana" w:hAnsi="Verdana"/>
          <w:b/>
        </w:rPr>
        <w:t>0</w:t>
      </w:r>
      <w:r w:rsidR="00425578" w:rsidRPr="000C676D">
        <w:rPr>
          <w:rFonts w:ascii="Verdana" w:hAnsi="Verdana"/>
          <w:b/>
        </w:rPr>
        <w:t xml:space="preserve"> </w:t>
      </w:r>
      <w:r w:rsidR="00425578" w:rsidRPr="00305F33">
        <w:rPr>
          <w:rFonts w:ascii="Verdana" w:hAnsi="Verdana"/>
          <w:b/>
        </w:rPr>
        <w:t xml:space="preserve">ianuarie </w:t>
      </w:r>
      <w:r w:rsidR="008B4E22" w:rsidRPr="00305F33">
        <w:rPr>
          <w:rFonts w:ascii="Verdana" w:hAnsi="Verdana"/>
          <w:b/>
        </w:rPr>
        <w:t>20</w:t>
      </w:r>
      <w:r w:rsidR="005A6B6C" w:rsidRPr="00305F33">
        <w:rPr>
          <w:rFonts w:ascii="Verdana" w:hAnsi="Verdana"/>
          <w:b/>
        </w:rPr>
        <w:t>2</w:t>
      </w:r>
      <w:r w:rsidR="008F3F4D">
        <w:rPr>
          <w:rFonts w:ascii="Verdana" w:hAnsi="Verdana"/>
          <w:b/>
        </w:rPr>
        <w:t>5</w:t>
      </w:r>
      <w:r w:rsidR="005114ED" w:rsidRPr="00305F33">
        <w:rPr>
          <w:rFonts w:ascii="Verdana" w:hAnsi="Verdana"/>
        </w:rPr>
        <w:t xml:space="preserve"> și se vor încheia la data de </w:t>
      </w:r>
      <w:r w:rsidR="008F3F4D">
        <w:rPr>
          <w:rFonts w:ascii="Verdana" w:hAnsi="Verdana"/>
          <w:b/>
        </w:rPr>
        <w:t>20</w:t>
      </w:r>
      <w:r w:rsidR="00514A8D" w:rsidRPr="00305F33">
        <w:rPr>
          <w:rFonts w:ascii="Verdana" w:hAnsi="Verdana"/>
          <w:b/>
        </w:rPr>
        <w:t xml:space="preserve"> septembrie </w:t>
      </w:r>
      <w:r w:rsidR="005114ED" w:rsidRPr="00305F33">
        <w:rPr>
          <w:rFonts w:ascii="Verdana" w:hAnsi="Verdana"/>
          <w:b/>
        </w:rPr>
        <w:t>202</w:t>
      </w:r>
      <w:r w:rsidR="008F3F4D">
        <w:rPr>
          <w:rFonts w:ascii="Verdana" w:hAnsi="Verdana"/>
          <w:b/>
        </w:rPr>
        <w:t>5</w:t>
      </w:r>
      <w:r w:rsidR="005114ED" w:rsidRPr="00305F33">
        <w:rPr>
          <w:rFonts w:ascii="Verdana" w:hAnsi="Verdana"/>
        </w:rPr>
        <w:t>.</w:t>
      </w:r>
    </w:p>
    <w:p w14:paraId="5D2A5B33" w14:textId="77777777" w:rsidR="005114ED" w:rsidRDefault="005114ED" w:rsidP="008951C4">
      <w:pPr>
        <w:spacing w:line="276" w:lineRule="auto"/>
        <w:ind w:firstLine="720"/>
        <w:jc w:val="both"/>
        <w:rPr>
          <w:rFonts w:ascii="Verdana" w:hAnsi="Verdana"/>
        </w:rPr>
      </w:pPr>
      <w:r w:rsidRPr="00305F33">
        <w:rPr>
          <w:rFonts w:ascii="Verdana" w:hAnsi="Verdana"/>
        </w:rPr>
        <w:t>(2) În limitele calendaristice prevăzute la alin. (1), structurile I.N.P.P.A. au posibilitatea de a programa activitățile de formare în raport de disponibilitatea formatorilor.</w:t>
      </w:r>
    </w:p>
    <w:p w14:paraId="3C5260F6" w14:textId="77777777" w:rsidR="008951C4" w:rsidRPr="00305F33" w:rsidRDefault="008951C4" w:rsidP="008951C4">
      <w:pPr>
        <w:spacing w:line="276" w:lineRule="auto"/>
        <w:ind w:firstLine="720"/>
        <w:jc w:val="both"/>
        <w:rPr>
          <w:rFonts w:ascii="Verdana" w:hAnsi="Verdana"/>
        </w:rPr>
      </w:pPr>
    </w:p>
    <w:p w14:paraId="579FFCC0" w14:textId="5C9708D6" w:rsidR="00862359" w:rsidRPr="00305F33" w:rsidRDefault="00862359" w:rsidP="008951C4">
      <w:pPr>
        <w:spacing w:line="276" w:lineRule="auto"/>
        <w:ind w:firstLine="720"/>
        <w:jc w:val="both"/>
        <w:rPr>
          <w:rFonts w:ascii="Verdana" w:hAnsi="Verdana"/>
        </w:rPr>
      </w:pPr>
      <w:r w:rsidRPr="00305F33">
        <w:rPr>
          <w:rFonts w:ascii="Verdana" w:hAnsi="Verdana"/>
          <w:b/>
        </w:rPr>
        <w:t xml:space="preserve">Art. </w:t>
      </w:r>
      <w:r w:rsidR="005114ED" w:rsidRPr="00305F33">
        <w:rPr>
          <w:rFonts w:ascii="Verdana" w:hAnsi="Verdana"/>
          <w:b/>
        </w:rPr>
        <w:t>2</w:t>
      </w:r>
      <w:r w:rsidRPr="00305F33">
        <w:rPr>
          <w:rFonts w:ascii="Verdana" w:hAnsi="Verdana"/>
          <w:b/>
        </w:rPr>
        <w:t xml:space="preserve">. </w:t>
      </w:r>
      <w:r w:rsidRPr="00305F33">
        <w:rPr>
          <w:rFonts w:ascii="Verdana" w:hAnsi="Verdana"/>
        </w:rPr>
        <w:t xml:space="preserve">(1) - Taxa de școlarizare aferentă anului II de pregătire profesională </w:t>
      </w:r>
      <w:r w:rsidR="009A7D7B" w:rsidRPr="00305F33">
        <w:rPr>
          <w:rFonts w:ascii="Verdana" w:hAnsi="Verdana"/>
        </w:rPr>
        <w:t>inițială</w:t>
      </w:r>
      <w:r w:rsidRPr="00305F33">
        <w:rPr>
          <w:rFonts w:ascii="Verdana" w:hAnsi="Verdana"/>
        </w:rPr>
        <w:t xml:space="preserve"> este de </w:t>
      </w:r>
      <w:r w:rsidR="001A3241" w:rsidRPr="008F3F4D">
        <w:rPr>
          <w:rFonts w:ascii="Verdana" w:hAnsi="Verdana"/>
          <w:b/>
          <w:bCs/>
        </w:rPr>
        <w:t>1</w:t>
      </w:r>
      <w:r w:rsidR="005B1426">
        <w:rPr>
          <w:rFonts w:ascii="Verdana" w:hAnsi="Verdana"/>
          <w:b/>
          <w:bCs/>
        </w:rPr>
        <w:t>20</w:t>
      </w:r>
      <w:r w:rsidR="001A3241" w:rsidRPr="008F3F4D">
        <w:rPr>
          <w:rFonts w:ascii="Verdana" w:hAnsi="Verdana"/>
          <w:b/>
          <w:bCs/>
        </w:rPr>
        <w:t>0</w:t>
      </w:r>
      <w:r w:rsidRPr="008F3F4D">
        <w:rPr>
          <w:rFonts w:ascii="Verdana" w:hAnsi="Verdana"/>
          <w:b/>
          <w:bCs/>
        </w:rPr>
        <w:t xml:space="preserve"> lei</w:t>
      </w:r>
      <w:r w:rsidR="001A3241">
        <w:rPr>
          <w:rFonts w:ascii="Verdana" w:hAnsi="Verdana"/>
        </w:rPr>
        <w:t xml:space="preserve">, conform </w:t>
      </w:r>
      <w:r w:rsidR="001A3241" w:rsidRPr="00A65AE8">
        <w:rPr>
          <w:rFonts w:ascii="Verdana" w:hAnsi="Verdana"/>
          <w:u w:val="single"/>
        </w:rPr>
        <w:t xml:space="preserve">Deciziei nr. </w:t>
      </w:r>
      <w:r w:rsidR="00A65AE8" w:rsidRPr="00A65AE8">
        <w:rPr>
          <w:rFonts w:ascii="Verdana" w:hAnsi="Verdana"/>
          <w:u w:val="single"/>
        </w:rPr>
        <w:t>251</w:t>
      </w:r>
      <w:r w:rsidR="001A3241" w:rsidRPr="00A65AE8">
        <w:rPr>
          <w:rFonts w:ascii="Verdana" w:hAnsi="Verdana"/>
          <w:u w:val="single"/>
        </w:rPr>
        <w:t>/</w:t>
      </w:r>
      <w:r w:rsidR="005B1426" w:rsidRPr="00A65AE8">
        <w:rPr>
          <w:rFonts w:ascii="Verdana" w:hAnsi="Verdana"/>
          <w:u w:val="single"/>
        </w:rPr>
        <w:t>12</w:t>
      </w:r>
      <w:r w:rsidR="001A3241" w:rsidRPr="00A65AE8">
        <w:rPr>
          <w:rFonts w:ascii="Verdana" w:hAnsi="Verdana"/>
          <w:u w:val="single"/>
        </w:rPr>
        <w:t>.</w:t>
      </w:r>
      <w:r w:rsidR="005B1426" w:rsidRPr="00A65AE8">
        <w:rPr>
          <w:rFonts w:ascii="Verdana" w:hAnsi="Verdana"/>
          <w:u w:val="single"/>
        </w:rPr>
        <w:t>12</w:t>
      </w:r>
      <w:r w:rsidR="001A3241" w:rsidRPr="00A65AE8">
        <w:rPr>
          <w:rFonts w:ascii="Verdana" w:hAnsi="Verdana"/>
          <w:u w:val="single"/>
        </w:rPr>
        <w:t>.202</w:t>
      </w:r>
      <w:r w:rsidR="005B1426" w:rsidRPr="00A65AE8">
        <w:rPr>
          <w:rFonts w:ascii="Verdana" w:hAnsi="Verdana"/>
          <w:u w:val="single"/>
        </w:rPr>
        <w:t>4</w:t>
      </w:r>
      <w:r w:rsidR="001A3241">
        <w:rPr>
          <w:rFonts w:ascii="Verdana" w:hAnsi="Verdana"/>
        </w:rPr>
        <w:t xml:space="preserve"> a Comisiei Permanente a U.N.B.R.,</w:t>
      </w:r>
      <w:r w:rsidRPr="00305F33">
        <w:rPr>
          <w:rFonts w:ascii="Verdana" w:hAnsi="Verdana"/>
        </w:rPr>
        <w:t xml:space="preserve"> </w:t>
      </w:r>
      <w:r w:rsidR="009A7D7B" w:rsidRPr="00305F33">
        <w:rPr>
          <w:rFonts w:ascii="Verdana" w:hAnsi="Verdana"/>
        </w:rPr>
        <w:t>și</w:t>
      </w:r>
      <w:r w:rsidRPr="00305F33">
        <w:rPr>
          <w:rFonts w:ascii="Verdana" w:hAnsi="Verdana"/>
        </w:rPr>
        <w:t xml:space="preserve"> va fi achitată până la data de </w:t>
      </w:r>
      <w:r w:rsidR="001A3241" w:rsidRPr="008F3F4D">
        <w:rPr>
          <w:rFonts w:ascii="Verdana" w:hAnsi="Verdana"/>
          <w:b/>
          <w:bCs/>
        </w:rPr>
        <w:t>1</w:t>
      </w:r>
      <w:r w:rsidR="008F3F4D" w:rsidRPr="008F3F4D">
        <w:rPr>
          <w:rFonts w:ascii="Verdana" w:hAnsi="Verdana"/>
          <w:b/>
          <w:bCs/>
        </w:rPr>
        <w:t>7</w:t>
      </w:r>
      <w:r w:rsidRPr="008F3F4D">
        <w:rPr>
          <w:rFonts w:ascii="Verdana" w:hAnsi="Verdana"/>
          <w:b/>
          <w:bCs/>
        </w:rPr>
        <w:t xml:space="preserve"> </w:t>
      </w:r>
      <w:r w:rsidR="00BC0B29" w:rsidRPr="008F3F4D">
        <w:rPr>
          <w:rFonts w:ascii="Verdana" w:hAnsi="Verdana"/>
          <w:b/>
          <w:bCs/>
        </w:rPr>
        <w:t xml:space="preserve">februarie </w:t>
      </w:r>
      <w:r w:rsidRPr="008F3F4D">
        <w:rPr>
          <w:rFonts w:ascii="Verdana" w:hAnsi="Verdana"/>
          <w:b/>
          <w:bCs/>
        </w:rPr>
        <w:t>202</w:t>
      </w:r>
      <w:r w:rsidR="008F3F4D" w:rsidRPr="008F3F4D">
        <w:rPr>
          <w:rFonts w:ascii="Verdana" w:hAnsi="Verdana"/>
          <w:b/>
          <w:bCs/>
        </w:rPr>
        <w:t>5</w:t>
      </w:r>
      <w:r w:rsidR="000C676D">
        <w:rPr>
          <w:rFonts w:ascii="Verdana" w:hAnsi="Verdana"/>
        </w:rPr>
        <w:t xml:space="preserve">, sub sancțiunea aplicării dispozițiilor art. </w:t>
      </w:r>
      <w:r w:rsidR="00BC0B29">
        <w:rPr>
          <w:rFonts w:ascii="Verdana" w:hAnsi="Verdana"/>
        </w:rPr>
        <w:t xml:space="preserve">52 alin. (3) </w:t>
      </w:r>
      <w:r w:rsidR="000C676D">
        <w:rPr>
          <w:rFonts w:ascii="Verdana" w:hAnsi="Verdana"/>
        </w:rPr>
        <w:t xml:space="preserve">din Regulamentul de organizare și funcționare a I.N.P.P.A. </w:t>
      </w:r>
      <w:r w:rsidR="00BC0B29">
        <w:rPr>
          <w:rFonts w:ascii="Verdana" w:hAnsi="Verdana"/>
        </w:rPr>
        <w:t>privind întreruperea studiilor.</w:t>
      </w:r>
      <w:r w:rsidRPr="00305F33">
        <w:rPr>
          <w:rFonts w:ascii="Verdana" w:hAnsi="Verdana"/>
        </w:rPr>
        <w:t xml:space="preserve"> </w:t>
      </w:r>
    </w:p>
    <w:p w14:paraId="7623C192" w14:textId="35A4371D" w:rsidR="004F6D3E" w:rsidRPr="00305F33" w:rsidRDefault="00BC0B29" w:rsidP="008951C4">
      <w:pPr>
        <w:spacing w:line="276" w:lineRule="auto"/>
        <w:ind w:firstLine="720"/>
        <w:jc w:val="both"/>
        <w:rPr>
          <w:rFonts w:ascii="Verdana" w:hAnsi="Verdana"/>
        </w:rPr>
      </w:pPr>
      <w:r w:rsidRPr="00305F33">
        <w:rPr>
          <w:rFonts w:ascii="Verdana" w:hAnsi="Verdana"/>
        </w:rPr>
        <w:lastRenderedPageBreak/>
        <w:t xml:space="preserve"> </w:t>
      </w:r>
      <w:r w:rsidR="004F6D3E" w:rsidRPr="00305F33">
        <w:rPr>
          <w:rFonts w:ascii="Verdana" w:hAnsi="Verdana"/>
        </w:rPr>
        <w:t>(</w:t>
      </w:r>
      <w:r>
        <w:rPr>
          <w:rFonts w:ascii="Verdana" w:hAnsi="Verdana"/>
        </w:rPr>
        <w:t>2</w:t>
      </w:r>
      <w:r w:rsidR="004F6D3E" w:rsidRPr="00305F33">
        <w:rPr>
          <w:rFonts w:ascii="Verdana" w:hAnsi="Verdana"/>
        </w:rPr>
        <w:t xml:space="preserve">) </w:t>
      </w:r>
      <w:bookmarkStart w:id="0" w:name="_Hlk59618950"/>
      <w:r w:rsidR="00864D13" w:rsidRPr="00305F33">
        <w:rPr>
          <w:rFonts w:ascii="Verdana" w:hAnsi="Verdana"/>
        </w:rPr>
        <w:t xml:space="preserve">Se înscriu în anul II </w:t>
      </w:r>
      <w:r>
        <w:rPr>
          <w:rFonts w:ascii="Verdana" w:hAnsi="Verdana"/>
        </w:rPr>
        <w:t>cursanții care au promovat integral anul I de pregătire profesională inițială în anul 202</w:t>
      </w:r>
      <w:r w:rsidR="008F3F4D">
        <w:rPr>
          <w:rFonts w:ascii="Verdana" w:hAnsi="Verdana"/>
        </w:rPr>
        <w:t>4</w:t>
      </w:r>
      <w:r>
        <w:rPr>
          <w:rFonts w:ascii="Verdana" w:hAnsi="Verdana"/>
        </w:rPr>
        <w:t xml:space="preserve">. Se înscriu în anul II și </w:t>
      </w:r>
      <w:r w:rsidR="00864D13" w:rsidRPr="00305F33">
        <w:rPr>
          <w:rFonts w:ascii="Verdana" w:hAnsi="Verdana"/>
        </w:rPr>
        <w:t>c</w:t>
      </w:r>
      <w:r w:rsidR="006B724D" w:rsidRPr="00305F33">
        <w:rPr>
          <w:rFonts w:ascii="Verdana" w:hAnsi="Verdana"/>
        </w:rPr>
        <w:t xml:space="preserve">ursanții </w:t>
      </w:r>
      <w:r w:rsidR="004F6D3E" w:rsidRPr="00305F33">
        <w:rPr>
          <w:rFonts w:ascii="Verdana" w:hAnsi="Verdana"/>
        </w:rPr>
        <w:t xml:space="preserve">care nu au promovat </w:t>
      </w:r>
      <w:r w:rsidR="006B724D" w:rsidRPr="00305F33">
        <w:rPr>
          <w:rFonts w:ascii="Verdana" w:hAnsi="Verdana"/>
        </w:rPr>
        <w:t xml:space="preserve">integral </w:t>
      </w:r>
      <w:r w:rsidR="004F6D3E" w:rsidRPr="00305F33">
        <w:rPr>
          <w:rFonts w:ascii="Verdana" w:hAnsi="Verdana"/>
        </w:rPr>
        <w:t>anul I</w:t>
      </w:r>
      <w:r w:rsidRPr="00BC0B29">
        <w:rPr>
          <w:rFonts w:ascii="Verdana" w:hAnsi="Verdana"/>
        </w:rPr>
        <w:t xml:space="preserve"> </w:t>
      </w:r>
      <w:r>
        <w:rPr>
          <w:rFonts w:ascii="Verdana" w:hAnsi="Verdana"/>
        </w:rPr>
        <w:t>de pregătire profesională inițială</w:t>
      </w:r>
      <w:r w:rsidR="00864D13" w:rsidRPr="00305F33">
        <w:rPr>
          <w:rFonts w:ascii="Verdana" w:hAnsi="Verdana"/>
        </w:rPr>
        <w:t>, cu obligația de a reface integral, potrivit dispozițiilor art. 4</w:t>
      </w:r>
      <w:r>
        <w:rPr>
          <w:rFonts w:ascii="Verdana" w:hAnsi="Verdana"/>
        </w:rPr>
        <w:t>7</w:t>
      </w:r>
      <w:r w:rsidR="00864D13" w:rsidRPr="00305F33">
        <w:rPr>
          <w:rFonts w:ascii="Verdana" w:hAnsi="Verdana"/>
        </w:rPr>
        <w:t xml:space="preserve"> sau, după caz, art. 4</w:t>
      </w:r>
      <w:r>
        <w:rPr>
          <w:rFonts w:ascii="Verdana" w:hAnsi="Verdana"/>
        </w:rPr>
        <w:t>9</w:t>
      </w:r>
      <w:r w:rsidR="00864D13" w:rsidRPr="00305F33">
        <w:rPr>
          <w:rFonts w:ascii="Verdana" w:hAnsi="Verdana"/>
        </w:rPr>
        <w:t xml:space="preserve"> alin. (6) din Regul</w:t>
      </w:r>
      <w:r w:rsidR="00087153" w:rsidRPr="00305F33">
        <w:rPr>
          <w:rFonts w:ascii="Verdana" w:hAnsi="Verdana"/>
        </w:rPr>
        <w:t>a</w:t>
      </w:r>
      <w:r w:rsidR="00864D13" w:rsidRPr="00305F33">
        <w:rPr>
          <w:rFonts w:ascii="Verdana" w:hAnsi="Verdana"/>
        </w:rPr>
        <w:t xml:space="preserve">mentul de organizare și funcționare a I.N.P.P.A., </w:t>
      </w:r>
      <w:r w:rsidR="004F6D3E" w:rsidRPr="00305F33">
        <w:rPr>
          <w:rFonts w:ascii="Verdana" w:hAnsi="Verdana"/>
        </w:rPr>
        <w:t xml:space="preserve"> activitatea de formare la disciplinele nepromovate</w:t>
      </w:r>
      <w:r w:rsidR="00864D13" w:rsidRPr="00305F33">
        <w:rPr>
          <w:rFonts w:ascii="Verdana" w:hAnsi="Verdana"/>
        </w:rPr>
        <w:t xml:space="preserve">. </w:t>
      </w:r>
      <w:r w:rsidR="00087153" w:rsidRPr="00305F33">
        <w:rPr>
          <w:rFonts w:ascii="Verdana" w:hAnsi="Verdana"/>
        </w:rPr>
        <w:t xml:space="preserve">În acest scop, acești cursanți vor fi afiliați de secretariatul I.N.P.P.A. unor grupe de cursanți din anul I, fără plata unei taxe, și vor respecta calendarul publicat al activității de formare de la grupele la care sunt afiliați. </w:t>
      </w:r>
      <w:bookmarkEnd w:id="0"/>
    </w:p>
    <w:p w14:paraId="40341C83" w14:textId="62927F10" w:rsidR="00864D13" w:rsidRPr="00305F33" w:rsidRDefault="00864D13" w:rsidP="008951C4">
      <w:pPr>
        <w:spacing w:line="276" w:lineRule="auto"/>
        <w:ind w:firstLine="720"/>
        <w:jc w:val="both"/>
        <w:rPr>
          <w:rFonts w:ascii="Verdana" w:hAnsi="Verdana"/>
        </w:rPr>
      </w:pPr>
      <w:r w:rsidRPr="00305F33">
        <w:rPr>
          <w:rFonts w:ascii="Verdana" w:hAnsi="Verdana"/>
        </w:rPr>
        <w:t>(</w:t>
      </w:r>
      <w:r w:rsidR="00BC0B29">
        <w:rPr>
          <w:rFonts w:ascii="Verdana" w:hAnsi="Verdana"/>
        </w:rPr>
        <w:t>3</w:t>
      </w:r>
      <w:r w:rsidRPr="00305F33">
        <w:rPr>
          <w:rFonts w:ascii="Verdana" w:hAnsi="Verdana"/>
        </w:rPr>
        <w:t xml:space="preserve">) </w:t>
      </w:r>
      <w:r w:rsidR="00087153" w:rsidRPr="00305F33">
        <w:rPr>
          <w:rFonts w:ascii="Verdana" w:hAnsi="Verdana"/>
        </w:rPr>
        <w:t>Cursanții care nu au promovat integral anul II de pregătire profesională inițială în anul 202</w:t>
      </w:r>
      <w:r w:rsidR="008F3F4D">
        <w:rPr>
          <w:rFonts w:ascii="Verdana" w:hAnsi="Verdana"/>
        </w:rPr>
        <w:t>4</w:t>
      </w:r>
      <w:r w:rsidR="00087153" w:rsidRPr="00305F33">
        <w:rPr>
          <w:rFonts w:ascii="Verdana" w:hAnsi="Verdana"/>
        </w:rPr>
        <w:t xml:space="preserve"> au obligația de a reface integral, potrivit dispozițiilor art. 4</w:t>
      </w:r>
      <w:r w:rsidR="00BC0B29">
        <w:rPr>
          <w:rFonts w:ascii="Verdana" w:hAnsi="Verdana"/>
        </w:rPr>
        <w:t>7</w:t>
      </w:r>
      <w:r w:rsidR="00087153" w:rsidRPr="00305F33">
        <w:rPr>
          <w:rFonts w:ascii="Verdana" w:hAnsi="Verdana"/>
        </w:rPr>
        <w:t xml:space="preserve"> sau, după caz, art. 4</w:t>
      </w:r>
      <w:r w:rsidR="00BC0B29">
        <w:rPr>
          <w:rFonts w:ascii="Verdana" w:hAnsi="Verdana"/>
        </w:rPr>
        <w:t>9</w:t>
      </w:r>
      <w:r w:rsidR="00087153" w:rsidRPr="00305F33">
        <w:rPr>
          <w:rFonts w:ascii="Verdana" w:hAnsi="Verdana"/>
        </w:rPr>
        <w:t xml:space="preserve"> alin. (6) din Regulamentul de organizare și funcționare a I.N.P.P.A., activitatea de formare la disciplinele nepromovate. În acest scop, acești cursanți vor fi afiliați de secretariatul I.N.P.P.A. unor grupe de cursanți din anul II, fără plata unei taxe, și vor respecta calendarul publicat al activității de formare de la grupele la care sunt afiliați.</w:t>
      </w:r>
      <w:r w:rsidRPr="00305F33">
        <w:rPr>
          <w:rFonts w:ascii="Verdana" w:hAnsi="Verdana"/>
        </w:rPr>
        <w:t xml:space="preserve"> </w:t>
      </w:r>
    </w:p>
    <w:p w14:paraId="15C9E2EB" w14:textId="77777777" w:rsidR="00F83CA2" w:rsidRPr="00305F33" w:rsidRDefault="00F83CA2" w:rsidP="008951C4">
      <w:pPr>
        <w:spacing w:line="276" w:lineRule="auto"/>
        <w:ind w:firstLine="720"/>
        <w:jc w:val="both"/>
        <w:rPr>
          <w:rFonts w:ascii="Verdana" w:hAnsi="Verdana"/>
        </w:rPr>
      </w:pPr>
    </w:p>
    <w:p w14:paraId="7D12FF13" w14:textId="05C39C39" w:rsidR="00EE5B1C" w:rsidRPr="00305F33" w:rsidRDefault="00EE5B1C" w:rsidP="008951C4">
      <w:pPr>
        <w:spacing w:line="276" w:lineRule="auto"/>
        <w:ind w:firstLine="720"/>
        <w:jc w:val="both"/>
        <w:rPr>
          <w:rFonts w:ascii="Verdana" w:hAnsi="Verdana"/>
        </w:rPr>
      </w:pPr>
      <w:r w:rsidRPr="00305F33">
        <w:rPr>
          <w:rFonts w:ascii="Verdana" w:hAnsi="Verdana"/>
          <w:b/>
        </w:rPr>
        <w:t xml:space="preserve">Art. </w:t>
      </w:r>
      <w:r w:rsidR="00A1748D" w:rsidRPr="00305F33">
        <w:rPr>
          <w:rFonts w:ascii="Verdana" w:hAnsi="Verdana"/>
          <w:b/>
        </w:rPr>
        <w:t>3</w:t>
      </w:r>
      <w:r w:rsidRPr="00305F33">
        <w:rPr>
          <w:rFonts w:ascii="Verdana" w:hAnsi="Verdana"/>
          <w:b/>
        </w:rPr>
        <w:t xml:space="preserve">. </w:t>
      </w:r>
      <w:r w:rsidRPr="00305F33">
        <w:rPr>
          <w:rFonts w:ascii="Verdana" w:hAnsi="Verdana"/>
        </w:rPr>
        <w:t xml:space="preserve">– Prezenta </w:t>
      </w:r>
      <w:r w:rsidR="00A65AE8">
        <w:rPr>
          <w:rFonts w:ascii="Verdana" w:hAnsi="Verdana"/>
        </w:rPr>
        <w:t>decizie</w:t>
      </w:r>
      <w:r w:rsidRPr="00305F33">
        <w:rPr>
          <w:rFonts w:ascii="Verdana" w:hAnsi="Verdana"/>
        </w:rPr>
        <w:t xml:space="preserve"> se comunică </w:t>
      </w:r>
      <w:r w:rsidR="00C40901" w:rsidRPr="00305F33">
        <w:rPr>
          <w:rFonts w:ascii="Verdana" w:hAnsi="Verdana"/>
        </w:rPr>
        <w:t>U.N.B.R.</w:t>
      </w:r>
      <w:r w:rsidRPr="00305F33">
        <w:rPr>
          <w:rFonts w:ascii="Verdana" w:hAnsi="Verdana"/>
        </w:rPr>
        <w:t xml:space="preserve">, </w:t>
      </w:r>
      <w:r w:rsidR="00862359" w:rsidRPr="00305F33">
        <w:rPr>
          <w:rFonts w:ascii="Verdana" w:hAnsi="Verdana"/>
        </w:rPr>
        <w:t xml:space="preserve">structurilor </w:t>
      </w:r>
      <w:r w:rsidRPr="00305F33">
        <w:rPr>
          <w:rFonts w:ascii="Verdana" w:hAnsi="Verdana"/>
        </w:rPr>
        <w:t>I</w:t>
      </w:r>
      <w:r w:rsidR="00862359" w:rsidRPr="00305F33">
        <w:rPr>
          <w:rFonts w:ascii="Verdana" w:hAnsi="Verdana"/>
        </w:rPr>
        <w:t>.</w:t>
      </w:r>
      <w:r w:rsidRPr="00305F33">
        <w:rPr>
          <w:rFonts w:ascii="Verdana" w:hAnsi="Verdana"/>
        </w:rPr>
        <w:t>N</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A</w:t>
      </w:r>
      <w:r w:rsidR="00862359" w:rsidRPr="00305F33">
        <w:rPr>
          <w:rFonts w:ascii="Verdana" w:hAnsi="Verdana"/>
        </w:rPr>
        <w:t>.</w:t>
      </w:r>
      <w:r w:rsidRPr="00305F33">
        <w:rPr>
          <w:rFonts w:ascii="Verdana" w:hAnsi="Verdana"/>
        </w:rPr>
        <w:t xml:space="preserve"> </w:t>
      </w:r>
      <w:r w:rsidR="00961252" w:rsidRPr="00305F33">
        <w:rPr>
          <w:rFonts w:ascii="Verdana" w:hAnsi="Verdana"/>
        </w:rPr>
        <w:t>și</w:t>
      </w:r>
      <w:r w:rsidRPr="00305F33">
        <w:rPr>
          <w:rFonts w:ascii="Verdana" w:hAnsi="Verdana"/>
        </w:rPr>
        <w:t xml:space="preserve"> se publică pe </w:t>
      </w:r>
      <w:r w:rsidR="00AC6ABA">
        <w:rPr>
          <w:rFonts w:ascii="Verdana" w:hAnsi="Verdana"/>
        </w:rPr>
        <w:t xml:space="preserve">site-urile </w:t>
      </w:r>
      <w:hyperlink r:id="rId6" w:history="1">
        <w:r w:rsidR="00AC6ABA">
          <w:rPr>
            <w:rStyle w:val="Hyperlink"/>
            <w:rFonts w:ascii="Verdana" w:hAnsi="Verdana"/>
          </w:rPr>
          <w:t>www.unbr.ro</w:t>
        </w:r>
      </w:hyperlink>
      <w:r w:rsidR="00AC6ABA">
        <w:rPr>
          <w:rFonts w:ascii="Verdana" w:hAnsi="Verdana"/>
        </w:rPr>
        <w:t xml:space="preserve"> și </w:t>
      </w:r>
      <w:hyperlink r:id="rId7" w:history="1">
        <w:r w:rsidRPr="00305F33">
          <w:rPr>
            <w:rStyle w:val="Hyperlink"/>
            <w:rFonts w:ascii="Verdana" w:hAnsi="Verdana"/>
          </w:rPr>
          <w:t>www.inppa.ro</w:t>
        </w:r>
      </w:hyperlink>
      <w:r w:rsidRPr="00305F33">
        <w:rPr>
          <w:rFonts w:ascii="Verdana" w:hAnsi="Verdana"/>
        </w:rPr>
        <w:t xml:space="preserve">. </w:t>
      </w:r>
    </w:p>
    <w:p w14:paraId="5CD07476" w14:textId="77777777" w:rsidR="007E3E37" w:rsidRPr="00305F33" w:rsidRDefault="007E3E37" w:rsidP="008951C4">
      <w:pPr>
        <w:spacing w:line="276" w:lineRule="auto"/>
        <w:ind w:firstLine="720"/>
        <w:jc w:val="both"/>
        <w:rPr>
          <w:rFonts w:ascii="Verdana" w:hAnsi="Verdana"/>
        </w:rPr>
      </w:pPr>
    </w:p>
    <w:p w14:paraId="6A837FEF" w14:textId="77777777" w:rsidR="008951C4" w:rsidRDefault="008951C4" w:rsidP="008951C4">
      <w:pPr>
        <w:tabs>
          <w:tab w:val="left" w:pos="8219"/>
        </w:tabs>
        <w:spacing w:line="276" w:lineRule="auto"/>
        <w:rPr>
          <w:rFonts w:ascii="Verdana" w:hAnsi="Verdana"/>
        </w:rPr>
      </w:pPr>
    </w:p>
    <w:p w14:paraId="163ABDF8" w14:textId="77777777" w:rsidR="000A0F88" w:rsidRDefault="000A0F88" w:rsidP="008951C4">
      <w:pPr>
        <w:tabs>
          <w:tab w:val="left" w:pos="8219"/>
        </w:tabs>
        <w:spacing w:line="276" w:lineRule="auto"/>
        <w:rPr>
          <w:rFonts w:ascii="Verdana" w:hAnsi="Verdana"/>
        </w:rPr>
      </w:pPr>
    </w:p>
    <w:p w14:paraId="3BA65351" w14:textId="77777777" w:rsidR="000A0F88" w:rsidRDefault="000A0F88" w:rsidP="008951C4">
      <w:pPr>
        <w:tabs>
          <w:tab w:val="left" w:pos="8219"/>
        </w:tabs>
        <w:spacing w:line="276" w:lineRule="auto"/>
        <w:rPr>
          <w:rFonts w:ascii="Verdana" w:hAnsi="Verdana"/>
        </w:rPr>
      </w:pPr>
    </w:p>
    <w:p w14:paraId="303394D7" w14:textId="77777777" w:rsidR="008951C4" w:rsidRDefault="008951C4" w:rsidP="008951C4">
      <w:pPr>
        <w:tabs>
          <w:tab w:val="left" w:pos="8219"/>
        </w:tabs>
        <w:spacing w:line="276" w:lineRule="auto"/>
        <w:rPr>
          <w:rFonts w:ascii="Verdana" w:hAnsi="Verdana"/>
        </w:rPr>
      </w:pPr>
    </w:p>
    <w:p w14:paraId="503F9C18" w14:textId="51CFE93C" w:rsidR="0035049C" w:rsidRPr="00305F33" w:rsidRDefault="00F445FA" w:rsidP="008951C4">
      <w:pPr>
        <w:tabs>
          <w:tab w:val="left" w:pos="8219"/>
        </w:tabs>
        <w:spacing w:line="276" w:lineRule="auto"/>
        <w:rPr>
          <w:rFonts w:ascii="Verdana" w:hAnsi="Verdana" w:cs="Arial"/>
          <w:b/>
          <w:bCs/>
        </w:rPr>
      </w:pPr>
      <w:r w:rsidRPr="00305F33">
        <w:rPr>
          <w:rFonts w:ascii="Verdana" w:hAnsi="Verdana"/>
        </w:rPr>
        <w:tab/>
      </w:r>
    </w:p>
    <w:p w14:paraId="52087C00" w14:textId="77777777" w:rsidR="00310575" w:rsidRPr="008951C4" w:rsidRDefault="00310575" w:rsidP="008951C4">
      <w:pPr>
        <w:spacing w:line="276" w:lineRule="auto"/>
        <w:jc w:val="center"/>
        <w:rPr>
          <w:rFonts w:ascii="Verdana" w:hAnsi="Verdana" w:cs="Arial"/>
          <w:b/>
          <w:bCs/>
          <w:sz w:val="28"/>
          <w:szCs w:val="28"/>
        </w:rPr>
      </w:pPr>
      <w:r w:rsidRPr="008951C4">
        <w:rPr>
          <w:rFonts w:ascii="Verdana" w:hAnsi="Verdana" w:cs="Arial"/>
          <w:b/>
          <w:bCs/>
          <w:sz w:val="28"/>
          <w:szCs w:val="28"/>
        </w:rPr>
        <w:t>COMISIA PERMANENTĂ</w:t>
      </w:r>
    </w:p>
    <w:p w14:paraId="33543556" w14:textId="53572A8E" w:rsidR="00205BB1" w:rsidRPr="008951C4" w:rsidRDefault="00205BB1" w:rsidP="008951C4">
      <w:pPr>
        <w:spacing w:line="276" w:lineRule="auto"/>
        <w:jc w:val="center"/>
        <w:rPr>
          <w:rFonts w:ascii="Verdana" w:hAnsi="Verdana" w:cs="Arial"/>
          <w:b/>
          <w:bCs/>
          <w:sz w:val="28"/>
          <w:szCs w:val="28"/>
        </w:rPr>
      </w:pPr>
    </w:p>
    <w:sectPr w:rsidR="00205BB1" w:rsidRPr="008951C4" w:rsidSect="008951C4">
      <w:footerReference w:type="even" r:id="rId8"/>
      <w:footerReference w:type="default" r:id="rId9"/>
      <w:pgSz w:w="11909" w:h="16834" w:code="9"/>
      <w:pgMar w:top="990" w:right="1136" w:bottom="720" w:left="1440" w:header="706"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0E671" w14:textId="77777777" w:rsidR="00EC2561" w:rsidRDefault="00EC2561">
      <w:r>
        <w:separator/>
      </w:r>
    </w:p>
  </w:endnote>
  <w:endnote w:type="continuationSeparator" w:id="0">
    <w:p w14:paraId="0DE71948" w14:textId="77777777" w:rsidR="00EC2561" w:rsidRDefault="00EC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F906" w14:textId="77777777" w:rsidR="0035049C" w:rsidRDefault="0035049C"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7425B" w14:textId="77777777" w:rsidR="0035049C" w:rsidRDefault="0035049C"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73699"/>
      <w:docPartObj>
        <w:docPartGallery w:val="Page Numbers (Bottom of Page)"/>
        <w:docPartUnique/>
      </w:docPartObj>
    </w:sdtPr>
    <w:sdtEndPr>
      <w:rPr>
        <w:noProof/>
      </w:rPr>
    </w:sdtEndPr>
    <w:sdtContent>
      <w:p w14:paraId="552B5312" w14:textId="0AB6F52B" w:rsidR="00961252" w:rsidRDefault="00961252">
        <w:pPr>
          <w:pStyle w:val="Footer"/>
          <w:jc w:val="right"/>
        </w:pPr>
        <w:r>
          <w:fldChar w:fldCharType="begin"/>
        </w:r>
        <w:r>
          <w:instrText xml:space="preserve"> PAGE   \* MERGEFORMAT </w:instrText>
        </w:r>
        <w:r>
          <w:fldChar w:fldCharType="separate"/>
        </w:r>
        <w:r w:rsidR="005B1426">
          <w:rPr>
            <w:noProof/>
          </w:rPr>
          <w:t>2</w:t>
        </w:r>
        <w:r>
          <w:rPr>
            <w:noProof/>
          </w:rPr>
          <w:fldChar w:fldCharType="end"/>
        </w:r>
      </w:p>
    </w:sdtContent>
  </w:sdt>
  <w:p w14:paraId="17EBF0CB" w14:textId="77777777" w:rsidR="0035049C" w:rsidRDefault="0035049C"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CAEEB" w14:textId="77777777" w:rsidR="00EC2561" w:rsidRDefault="00EC2561">
      <w:r>
        <w:separator/>
      </w:r>
    </w:p>
  </w:footnote>
  <w:footnote w:type="continuationSeparator" w:id="0">
    <w:p w14:paraId="6ACDA5CD" w14:textId="77777777" w:rsidR="00EC2561" w:rsidRDefault="00EC2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90"/>
    <w:rsid w:val="00016BE1"/>
    <w:rsid w:val="0003304D"/>
    <w:rsid w:val="00043BB5"/>
    <w:rsid w:val="00062DB0"/>
    <w:rsid w:val="0008278A"/>
    <w:rsid w:val="00087153"/>
    <w:rsid w:val="000A0F88"/>
    <w:rsid w:val="000A49B0"/>
    <w:rsid w:val="000C676D"/>
    <w:rsid w:val="000D2C9F"/>
    <w:rsid w:val="000D3545"/>
    <w:rsid w:val="000F03A9"/>
    <w:rsid w:val="00101B67"/>
    <w:rsid w:val="00117082"/>
    <w:rsid w:val="00173BC2"/>
    <w:rsid w:val="00175FAD"/>
    <w:rsid w:val="00185D1B"/>
    <w:rsid w:val="001A277B"/>
    <w:rsid w:val="001A2C6C"/>
    <w:rsid w:val="001A3241"/>
    <w:rsid w:val="001D2D97"/>
    <w:rsid w:val="002001FF"/>
    <w:rsid w:val="00204D14"/>
    <w:rsid w:val="00205BB1"/>
    <w:rsid w:val="00207452"/>
    <w:rsid w:val="002129AE"/>
    <w:rsid w:val="0026256A"/>
    <w:rsid w:val="00283EB8"/>
    <w:rsid w:val="002A366F"/>
    <w:rsid w:val="002B1B5D"/>
    <w:rsid w:val="002F0FF4"/>
    <w:rsid w:val="00305F33"/>
    <w:rsid w:val="00310575"/>
    <w:rsid w:val="0033385C"/>
    <w:rsid w:val="0035049C"/>
    <w:rsid w:val="003564EA"/>
    <w:rsid w:val="00362262"/>
    <w:rsid w:val="00362C53"/>
    <w:rsid w:val="003666A5"/>
    <w:rsid w:val="0037579F"/>
    <w:rsid w:val="00383ABB"/>
    <w:rsid w:val="003C6FFB"/>
    <w:rsid w:val="003E4171"/>
    <w:rsid w:val="003E4C73"/>
    <w:rsid w:val="003E58EE"/>
    <w:rsid w:val="0041548F"/>
    <w:rsid w:val="00424F48"/>
    <w:rsid w:val="00425578"/>
    <w:rsid w:val="0043358F"/>
    <w:rsid w:val="0045794F"/>
    <w:rsid w:val="00464865"/>
    <w:rsid w:val="0046781E"/>
    <w:rsid w:val="004708BF"/>
    <w:rsid w:val="00477341"/>
    <w:rsid w:val="004A5A2B"/>
    <w:rsid w:val="004B0831"/>
    <w:rsid w:val="004B62C7"/>
    <w:rsid w:val="004E4B05"/>
    <w:rsid w:val="004F3B2C"/>
    <w:rsid w:val="004F6D3E"/>
    <w:rsid w:val="005114ED"/>
    <w:rsid w:val="00514A8D"/>
    <w:rsid w:val="005202EE"/>
    <w:rsid w:val="0053153B"/>
    <w:rsid w:val="00547A20"/>
    <w:rsid w:val="00551185"/>
    <w:rsid w:val="00563E8D"/>
    <w:rsid w:val="005718E0"/>
    <w:rsid w:val="005877C9"/>
    <w:rsid w:val="0059059A"/>
    <w:rsid w:val="005909C7"/>
    <w:rsid w:val="005A6B6C"/>
    <w:rsid w:val="005B1426"/>
    <w:rsid w:val="005C573E"/>
    <w:rsid w:val="005F4238"/>
    <w:rsid w:val="006032CA"/>
    <w:rsid w:val="00612BF0"/>
    <w:rsid w:val="006133C5"/>
    <w:rsid w:val="006248BB"/>
    <w:rsid w:val="00667931"/>
    <w:rsid w:val="00674BCB"/>
    <w:rsid w:val="006829E4"/>
    <w:rsid w:val="0068716F"/>
    <w:rsid w:val="00687362"/>
    <w:rsid w:val="006B724D"/>
    <w:rsid w:val="006D3CEC"/>
    <w:rsid w:val="006D7013"/>
    <w:rsid w:val="006F3FD9"/>
    <w:rsid w:val="00707929"/>
    <w:rsid w:val="0071622D"/>
    <w:rsid w:val="00716430"/>
    <w:rsid w:val="007209F4"/>
    <w:rsid w:val="00732FB2"/>
    <w:rsid w:val="00757028"/>
    <w:rsid w:val="0077088C"/>
    <w:rsid w:val="00773F16"/>
    <w:rsid w:val="00775C09"/>
    <w:rsid w:val="007778BE"/>
    <w:rsid w:val="00786537"/>
    <w:rsid w:val="007A61A4"/>
    <w:rsid w:val="007E3E37"/>
    <w:rsid w:val="007F4398"/>
    <w:rsid w:val="008257BC"/>
    <w:rsid w:val="00840B35"/>
    <w:rsid w:val="00847B07"/>
    <w:rsid w:val="00853571"/>
    <w:rsid w:val="00862359"/>
    <w:rsid w:val="00864D13"/>
    <w:rsid w:val="008759EF"/>
    <w:rsid w:val="008951C4"/>
    <w:rsid w:val="008A4503"/>
    <w:rsid w:val="008B4E22"/>
    <w:rsid w:val="008C63AD"/>
    <w:rsid w:val="008C7B64"/>
    <w:rsid w:val="008D18D4"/>
    <w:rsid w:val="008F1984"/>
    <w:rsid w:val="008F3F4D"/>
    <w:rsid w:val="009126F1"/>
    <w:rsid w:val="009402AD"/>
    <w:rsid w:val="0094557F"/>
    <w:rsid w:val="0094716D"/>
    <w:rsid w:val="0095497E"/>
    <w:rsid w:val="00956F15"/>
    <w:rsid w:val="00960CA0"/>
    <w:rsid w:val="00961252"/>
    <w:rsid w:val="009739E5"/>
    <w:rsid w:val="00973E89"/>
    <w:rsid w:val="00981FF0"/>
    <w:rsid w:val="00997B94"/>
    <w:rsid w:val="009A7D7B"/>
    <w:rsid w:val="009B047C"/>
    <w:rsid w:val="009E63DB"/>
    <w:rsid w:val="009F1020"/>
    <w:rsid w:val="009F549F"/>
    <w:rsid w:val="00A1748D"/>
    <w:rsid w:val="00A22B97"/>
    <w:rsid w:val="00A372BE"/>
    <w:rsid w:val="00A40193"/>
    <w:rsid w:val="00A4112C"/>
    <w:rsid w:val="00A411A1"/>
    <w:rsid w:val="00A52674"/>
    <w:rsid w:val="00A65AE8"/>
    <w:rsid w:val="00A666C3"/>
    <w:rsid w:val="00A95340"/>
    <w:rsid w:val="00AB42CD"/>
    <w:rsid w:val="00AC622C"/>
    <w:rsid w:val="00AC6ABA"/>
    <w:rsid w:val="00AE3C77"/>
    <w:rsid w:val="00AF7251"/>
    <w:rsid w:val="00B1285C"/>
    <w:rsid w:val="00B172DE"/>
    <w:rsid w:val="00B22DAE"/>
    <w:rsid w:val="00B41E78"/>
    <w:rsid w:val="00B60671"/>
    <w:rsid w:val="00BC0B29"/>
    <w:rsid w:val="00C21290"/>
    <w:rsid w:val="00C219DF"/>
    <w:rsid w:val="00C25640"/>
    <w:rsid w:val="00C40901"/>
    <w:rsid w:val="00C429C3"/>
    <w:rsid w:val="00C65E90"/>
    <w:rsid w:val="00CB5A6E"/>
    <w:rsid w:val="00CC47E9"/>
    <w:rsid w:val="00CE59DF"/>
    <w:rsid w:val="00D51A68"/>
    <w:rsid w:val="00D716F7"/>
    <w:rsid w:val="00D85B43"/>
    <w:rsid w:val="00DA0EED"/>
    <w:rsid w:val="00DA1C59"/>
    <w:rsid w:val="00DB5072"/>
    <w:rsid w:val="00DC4207"/>
    <w:rsid w:val="00DD044F"/>
    <w:rsid w:val="00DE1F11"/>
    <w:rsid w:val="00E040D8"/>
    <w:rsid w:val="00E37ECD"/>
    <w:rsid w:val="00E41423"/>
    <w:rsid w:val="00E61A30"/>
    <w:rsid w:val="00E72989"/>
    <w:rsid w:val="00E816C5"/>
    <w:rsid w:val="00EB2DAD"/>
    <w:rsid w:val="00EC136E"/>
    <w:rsid w:val="00EC2561"/>
    <w:rsid w:val="00EC4154"/>
    <w:rsid w:val="00EE5B1C"/>
    <w:rsid w:val="00F20057"/>
    <w:rsid w:val="00F33D91"/>
    <w:rsid w:val="00F445FA"/>
    <w:rsid w:val="00F54A5D"/>
    <w:rsid w:val="00F61FD9"/>
    <w:rsid w:val="00F632CA"/>
    <w:rsid w:val="00F7684A"/>
    <w:rsid w:val="00F834B3"/>
    <w:rsid w:val="00F83CA2"/>
    <w:rsid w:val="00F87BB3"/>
    <w:rsid w:val="00FB6F44"/>
    <w:rsid w:val="00FC4538"/>
    <w:rsid w:val="00FE5C81"/>
    <w:rsid w:val="00FE7A60"/>
    <w:rsid w:val="00FF1C14"/>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A4E21"/>
  <w15:docId w15:val="{97760E65-CC28-49ED-9939-F5A91C42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E90"/>
    <w:rPr>
      <w:rFonts w:ascii="Arial" w:hAnsi="Arial"/>
      <w:sz w:val="24"/>
      <w:szCs w:val="24"/>
      <w:lang w:val="ro-RO"/>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90"/>
    <w:rPr>
      <w:color w:val="0000FF"/>
      <w:u w:val="single"/>
    </w:rPr>
  </w:style>
  <w:style w:type="paragraph" w:styleId="Footer">
    <w:name w:val="footer"/>
    <w:basedOn w:val="Normal"/>
    <w:link w:val="FooterChar"/>
    <w:uiPriority w:val="99"/>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paragraph" w:styleId="BalloonText">
    <w:name w:val="Balloon Text"/>
    <w:basedOn w:val="Normal"/>
    <w:link w:val="BalloonTextChar"/>
    <w:rsid w:val="00C40901"/>
    <w:rPr>
      <w:rFonts w:ascii="Segoe UI" w:hAnsi="Segoe UI" w:cs="Segoe UI"/>
      <w:sz w:val="18"/>
      <w:szCs w:val="18"/>
    </w:rPr>
  </w:style>
  <w:style w:type="character" w:customStyle="1" w:styleId="BalloonTextChar">
    <w:name w:val="Balloon Text Char"/>
    <w:link w:val="BalloonText"/>
    <w:rsid w:val="00C40901"/>
    <w:rPr>
      <w:rFonts w:ascii="Segoe UI" w:hAnsi="Segoe UI" w:cs="Segoe UI"/>
      <w:sz w:val="18"/>
      <w:szCs w:val="18"/>
      <w:lang w:eastAsia="en-US"/>
    </w:rPr>
  </w:style>
  <w:style w:type="paragraph" w:styleId="Header">
    <w:name w:val="header"/>
    <w:basedOn w:val="Normal"/>
    <w:link w:val="HeaderChar"/>
    <w:unhideWhenUsed/>
    <w:rsid w:val="00F445FA"/>
    <w:pPr>
      <w:tabs>
        <w:tab w:val="center" w:pos="4513"/>
        <w:tab w:val="right" w:pos="9026"/>
      </w:tabs>
    </w:pPr>
  </w:style>
  <w:style w:type="character" w:customStyle="1" w:styleId="HeaderChar">
    <w:name w:val="Header Char"/>
    <w:basedOn w:val="DefaultParagraphFont"/>
    <w:link w:val="Header"/>
    <w:rsid w:val="00F445FA"/>
    <w:rPr>
      <w:rFonts w:ascii="Arial" w:hAnsi="Arial"/>
      <w:sz w:val="24"/>
      <w:szCs w:val="24"/>
      <w:lang w:val="ro-RO"/>
    </w:rPr>
  </w:style>
  <w:style w:type="character" w:customStyle="1" w:styleId="FooterChar">
    <w:name w:val="Footer Char"/>
    <w:basedOn w:val="DefaultParagraphFont"/>
    <w:link w:val="Footer"/>
    <w:uiPriority w:val="99"/>
    <w:rsid w:val="00961252"/>
    <w:rPr>
      <w:rFonts w:ascii="Arial" w:hAnsi="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pp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475</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UNIUNEA NAŢIONALĂ A BAROURILOR DIN ROMÂNIA</vt:lpstr>
    </vt:vector>
  </TitlesOfParts>
  <Company>HP</Company>
  <LinksUpToDate>false</LinksUpToDate>
  <CharactersWithSpaces>3180</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Sandu Gherasim</cp:lastModifiedBy>
  <cp:revision>6</cp:revision>
  <cp:lastPrinted>2016-03-29T11:13:00Z</cp:lastPrinted>
  <dcterms:created xsi:type="dcterms:W3CDTF">2024-12-13T10:13:00Z</dcterms:created>
  <dcterms:modified xsi:type="dcterms:W3CDTF">2024-12-17T13:11:00Z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