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F03E" w14:textId="77777777" w:rsidR="00D204B4" w:rsidRPr="00D204B4" w:rsidRDefault="00D204B4" w:rsidP="00D204B4">
      <w:pPr>
        <w:spacing w:after="0" w:line="240" w:lineRule="auto"/>
        <w:jc w:val="center"/>
        <w:rPr>
          <w:rFonts w:ascii="Verdana" w:eastAsia="Times New Roman" w:hAnsi="Verdana" w:cs="Tahoma"/>
          <w:b/>
          <w:sz w:val="32"/>
          <w:szCs w:val="32"/>
          <w:lang w:val="ro-RO"/>
        </w:rPr>
      </w:pPr>
      <w:r w:rsidRPr="00D204B4">
        <w:rPr>
          <w:rFonts w:ascii="Verdana" w:eastAsia="Times New Roman" w:hAnsi="Verdana" w:cs="Tahoma"/>
          <w:b/>
          <w:sz w:val="32"/>
          <w:szCs w:val="32"/>
          <w:lang w:val="ro-RO"/>
        </w:rPr>
        <w:t>UNIUNEA NAŢIONALĂ A BAROURILOR DIN ROMÂNIA</w:t>
      </w:r>
    </w:p>
    <w:p w14:paraId="5479612D" w14:textId="77777777" w:rsidR="00D204B4" w:rsidRPr="00D204B4" w:rsidRDefault="00D204B4" w:rsidP="00D204B4">
      <w:pPr>
        <w:spacing w:after="0" w:line="240" w:lineRule="auto"/>
        <w:jc w:val="center"/>
        <w:rPr>
          <w:rFonts w:ascii="Verdana" w:eastAsia="Times New Roman" w:hAnsi="Verdana" w:cs="Tahoma"/>
          <w:b/>
          <w:bCs/>
          <w:i/>
          <w:iCs/>
          <w:sz w:val="38"/>
          <w:szCs w:val="32"/>
          <w:lang w:val="ro-RO"/>
        </w:rPr>
      </w:pPr>
      <w:r w:rsidRPr="00D204B4">
        <w:rPr>
          <w:rFonts w:ascii="Verdana" w:eastAsia="Times New Roman" w:hAnsi="Verdana" w:cs="Tahoma"/>
          <w:b/>
          <w:bCs/>
          <w:i/>
          <w:iCs/>
          <w:sz w:val="38"/>
          <w:szCs w:val="32"/>
          <w:lang w:val="ro-RO"/>
        </w:rPr>
        <w:t>Comisia Permanentă</w:t>
      </w:r>
    </w:p>
    <w:p w14:paraId="4F91CF57" w14:textId="77777777" w:rsidR="00D204B4" w:rsidRPr="00D204B4" w:rsidRDefault="00D204B4" w:rsidP="00D204B4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 w:val="24"/>
          <w:szCs w:val="24"/>
          <w:u w:val="single"/>
          <w:lang w:val="ro-RO"/>
        </w:rPr>
      </w:pPr>
    </w:p>
    <w:p w14:paraId="27CC2E33" w14:textId="13B01B2B" w:rsidR="00D204B4" w:rsidRPr="00D204B4" w:rsidRDefault="00D204B4" w:rsidP="00D204B4">
      <w:pPr>
        <w:spacing w:after="0" w:line="240" w:lineRule="auto"/>
        <w:jc w:val="center"/>
        <w:rPr>
          <w:rFonts w:ascii="Verdana" w:eastAsia="Times New Roman" w:hAnsi="Verdana" w:cs="Arial"/>
          <w:b/>
          <w:bCs/>
          <w:spacing w:val="20"/>
          <w:w w:val="150"/>
          <w:sz w:val="28"/>
          <w:szCs w:val="28"/>
          <w:lang w:val="ro-RO"/>
        </w:rPr>
      </w:pPr>
      <w:r w:rsidRPr="00D204B4">
        <w:rPr>
          <w:rFonts w:ascii="Verdana" w:eastAsia="Times New Roman" w:hAnsi="Verdana" w:cs="Arial"/>
          <w:b/>
          <w:bCs/>
          <w:spacing w:val="20"/>
          <w:w w:val="150"/>
          <w:sz w:val="28"/>
          <w:szCs w:val="28"/>
          <w:lang w:val="ro-RO"/>
        </w:rPr>
        <w:t xml:space="preserve">DECIZIA Nr. </w:t>
      </w:r>
      <w:r w:rsidR="009C1807">
        <w:rPr>
          <w:rFonts w:ascii="Verdana" w:eastAsia="Times New Roman" w:hAnsi="Verdana" w:cs="Arial"/>
          <w:b/>
          <w:bCs/>
          <w:spacing w:val="20"/>
          <w:w w:val="150"/>
          <w:sz w:val="28"/>
          <w:szCs w:val="28"/>
          <w:lang w:val="ro-RO"/>
        </w:rPr>
        <w:t>259</w:t>
      </w:r>
      <w:r w:rsidRPr="00D204B4">
        <w:rPr>
          <w:rFonts w:ascii="Verdana" w:eastAsia="Times New Roman" w:hAnsi="Verdana" w:cs="Arial"/>
          <w:b/>
          <w:bCs/>
          <w:spacing w:val="20"/>
          <w:w w:val="150"/>
          <w:sz w:val="28"/>
          <w:szCs w:val="28"/>
          <w:lang w:val="ro-RO"/>
        </w:rPr>
        <w:t>/</w:t>
      </w:r>
      <w:r w:rsidR="00D85862">
        <w:rPr>
          <w:rFonts w:ascii="Verdana" w:eastAsia="Times New Roman" w:hAnsi="Verdana" w:cs="Arial"/>
          <w:b/>
          <w:bCs/>
          <w:spacing w:val="20"/>
          <w:w w:val="150"/>
          <w:sz w:val="28"/>
          <w:szCs w:val="28"/>
          <w:lang w:val="ro-RO"/>
        </w:rPr>
        <w:t>23 ianuarie</w:t>
      </w:r>
      <w:r w:rsidRPr="00D204B4">
        <w:rPr>
          <w:rFonts w:ascii="Verdana" w:eastAsia="Times New Roman" w:hAnsi="Verdana" w:cs="Arial"/>
          <w:b/>
          <w:bCs/>
          <w:spacing w:val="20"/>
          <w:w w:val="150"/>
          <w:sz w:val="28"/>
          <w:szCs w:val="28"/>
          <w:lang w:val="ro-RO"/>
        </w:rPr>
        <w:t xml:space="preserve"> 202</w:t>
      </w:r>
      <w:r w:rsidR="00D85862">
        <w:rPr>
          <w:rFonts w:ascii="Verdana" w:eastAsia="Times New Roman" w:hAnsi="Verdana" w:cs="Arial"/>
          <w:b/>
          <w:bCs/>
          <w:spacing w:val="20"/>
          <w:w w:val="150"/>
          <w:sz w:val="28"/>
          <w:szCs w:val="28"/>
          <w:lang w:val="ro-RO"/>
        </w:rPr>
        <w:t>5</w:t>
      </w:r>
    </w:p>
    <w:p w14:paraId="0BEABF96" w14:textId="7D8A599C" w:rsidR="00D204B4" w:rsidRPr="00D204B4" w:rsidRDefault="00D204B4" w:rsidP="00D204B4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8"/>
          <w:szCs w:val="28"/>
          <w:lang w:val="ro-RO"/>
        </w:rPr>
      </w:pPr>
      <w:r w:rsidRPr="00D204B4">
        <w:rPr>
          <w:rFonts w:ascii="Verdana" w:eastAsia="Times New Roman" w:hAnsi="Verdana" w:cs="Arial"/>
          <w:b/>
          <w:bCs/>
          <w:sz w:val="28"/>
          <w:szCs w:val="28"/>
          <w:lang w:val="ro-RO"/>
        </w:rPr>
        <w:t xml:space="preserve">privind </w:t>
      </w:r>
      <w:r w:rsidR="00D85862">
        <w:rPr>
          <w:rFonts w:ascii="Verdana" w:eastAsia="Times New Roman" w:hAnsi="Verdana" w:cs="Arial"/>
          <w:b/>
          <w:bCs/>
          <w:sz w:val="28"/>
          <w:szCs w:val="28"/>
          <w:lang w:val="ro-RO"/>
        </w:rPr>
        <w:t xml:space="preserve">modificarea numărului de ore alocate </w:t>
      </w:r>
      <w:r w:rsidR="00DD224C">
        <w:rPr>
          <w:rFonts w:ascii="Verdana" w:eastAsia="Times New Roman" w:hAnsi="Verdana" w:cs="Arial"/>
          <w:b/>
          <w:bCs/>
          <w:sz w:val="28"/>
          <w:szCs w:val="28"/>
          <w:lang w:val="ro-RO"/>
        </w:rPr>
        <w:t>disciplinelor de drept european</w:t>
      </w:r>
      <w:r w:rsidR="00DD224C" w:rsidRPr="00D204B4">
        <w:rPr>
          <w:rFonts w:ascii="Verdana" w:eastAsia="Times New Roman" w:hAnsi="Verdana" w:cs="Arial"/>
          <w:b/>
          <w:bCs/>
          <w:sz w:val="28"/>
          <w:szCs w:val="28"/>
          <w:lang w:val="ro-RO"/>
        </w:rPr>
        <w:t xml:space="preserve"> </w:t>
      </w:r>
      <w:r w:rsidR="00D85862">
        <w:rPr>
          <w:rFonts w:ascii="Verdana" w:eastAsia="Times New Roman" w:hAnsi="Verdana" w:cs="Arial"/>
          <w:b/>
          <w:bCs/>
          <w:sz w:val="28"/>
          <w:szCs w:val="28"/>
          <w:lang w:val="ro-RO"/>
        </w:rPr>
        <w:t xml:space="preserve">în planul de formare inițială </w:t>
      </w:r>
      <w:r w:rsidR="00DD224C">
        <w:rPr>
          <w:rFonts w:ascii="Verdana" w:eastAsia="Times New Roman" w:hAnsi="Verdana" w:cs="Arial"/>
          <w:b/>
          <w:bCs/>
          <w:sz w:val="28"/>
          <w:szCs w:val="28"/>
          <w:lang w:val="ro-RO"/>
        </w:rPr>
        <w:t>al I.N.P.P.A.</w:t>
      </w:r>
    </w:p>
    <w:p w14:paraId="27652FBE" w14:textId="77777777" w:rsidR="00D204B4" w:rsidRPr="00D204B4" w:rsidRDefault="00D204B4" w:rsidP="00D204B4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ro-RO"/>
        </w:rPr>
      </w:pPr>
    </w:p>
    <w:p w14:paraId="6FE54DE2" w14:textId="77777777" w:rsidR="00D204B4" w:rsidRPr="00D204B4" w:rsidRDefault="00D204B4" w:rsidP="00D204B4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ro-RO"/>
        </w:rPr>
      </w:pPr>
    </w:p>
    <w:p w14:paraId="4AE9CA57" w14:textId="22C4FF8D" w:rsidR="00D204B4" w:rsidRPr="00D204B4" w:rsidRDefault="00D204B4" w:rsidP="00F141C5">
      <w:pPr>
        <w:spacing w:after="0" w:line="276" w:lineRule="auto"/>
        <w:jc w:val="both"/>
        <w:rPr>
          <w:rFonts w:ascii="Verdana" w:eastAsia="Times New Roman" w:hAnsi="Verdana" w:cs="Arial"/>
          <w:sz w:val="24"/>
          <w:szCs w:val="24"/>
          <w:lang w:val="ro-RO"/>
        </w:rPr>
      </w:pPr>
      <w:r w:rsidRPr="00D204B4">
        <w:rPr>
          <w:rFonts w:ascii="Arial" w:eastAsia="Times New Roman" w:hAnsi="Arial" w:cs="Arial"/>
          <w:sz w:val="24"/>
          <w:szCs w:val="24"/>
          <w:lang w:val="ro-RO"/>
        </w:rPr>
        <w:tab/>
      </w:r>
      <w:r w:rsidRPr="00D204B4">
        <w:rPr>
          <w:rFonts w:ascii="Verdana" w:eastAsia="Times New Roman" w:hAnsi="Verdana" w:cs="Arial"/>
          <w:sz w:val="24"/>
          <w:szCs w:val="24"/>
          <w:lang w:val="ro-RO"/>
        </w:rPr>
        <w:t xml:space="preserve">În conformitate cu prevederile </w:t>
      </w:r>
      <w:r w:rsidR="00DD224C" w:rsidRPr="00D204B4">
        <w:rPr>
          <w:rFonts w:ascii="Verdana" w:eastAsia="Times New Roman" w:hAnsi="Verdana" w:cs="Arial"/>
          <w:sz w:val="24"/>
          <w:szCs w:val="24"/>
          <w:lang w:val="ro-RO"/>
        </w:rPr>
        <w:t xml:space="preserve">art. </w:t>
      </w:r>
      <w:r w:rsidR="00DD224C">
        <w:rPr>
          <w:rFonts w:ascii="Verdana" w:eastAsia="Times New Roman" w:hAnsi="Verdana" w:cs="Arial"/>
          <w:sz w:val="24"/>
          <w:szCs w:val="24"/>
          <w:lang w:val="ro-RO"/>
        </w:rPr>
        <w:t>67</w:t>
      </w:r>
      <w:r w:rsidR="00DD224C" w:rsidRPr="00D204B4">
        <w:rPr>
          <w:rFonts w:ascii="Verdana" w:eastAsia="Times New Roman" w:hAnsi="Verdana" w:cs="Arial"/>
          <w:sz w:val="24"/>
          <w:szCs w:val="24"/>
          <w:lang w:val="ro-RO"/>
        </w:rPr>
        <w:t xml:space="preserve"> </w:t>
      </w:r>
      <w:r w:rsidR="00DD224C">
        <w:rPr>
          <w:rFonts w:ascii="Verdana" w:eastAsia="Times New Roman" w:hAnsi="Verdana" w:cs="Arial"/>
          <w:sz w:val="24"/>
          <w:szCs w:val="24"/>
          <w:lang w:val="ro-RO"/>
        </w:rPr>
        <w:t xml:space="preserve">alin. (3) </w:t>
      </w:r>
      <w:r w:rsidR="00DD224C" w:rsidRPr="00D204B4">
        <w:rPr>
          <w:rFonts w:ascii="Verdana" w:eastAsia="Times New Roman" w:hAnsi="Verdana" w:cs="Arial"/>
          <w:sz w:val="24"/>
          <w:szCs w:val="24"/>
          <w:lang w:val="ro-RO"/>
        </w:rPr>
        <w:t xml:space="preserve">din </w:t>
      </w:r>
      <w:r w:rsidR="00DD224C">
        <w:rPr>
          <w:rFonts w:ascii="Verdana" w:eastAsia="Times New Roman" w:hAnsi="Verdana" w:cs="Arial"/>
          <w:sz w:val="24"/>
          <w:szCs w:val="24"/>
          <w:lang w:val="ro-RO"/>
        </w:rPr>
        <w:t xml:space="preserve">Legea nr. 51/1995 și ale </w:t>
      </w:r>
      <w:r w:rsidRPr="00D204B4">
        <w:rPr>
          <w:rFonts w:ascii="Verdana" w:eastAsia="Times New Roman" w:hAnsi="Verdana" w:cs="Arial"/>
          <w:sz w:val="24"/>
          <w:szCs w:val="24"/>
          <w:lang w:val="ro-RO"/>
        </w:rPr>
        <w:t xml:space="preserve">art. </w:t>
      </w:r>
      <w:r w:rsidR="00BF1BE3">
        <w:rPr>
          <w:rFonts w:ascii="Verdana" w:eastAsia="Times New Roman" w:hAnsi="Verdana" w:cs="Arial"/>
          <w:sz w:val="24"/>
          <w:szCs w:val="24"/>
          <w:lang w:val="ro-RO"/>
        </w:rPr>
        <w:t xml:space="preserve">14 lit. </w:t>
      </w:r>
      <w:r w:rsidR="00DD224C">
        <w:rPr>
          <w:rFonts w:ascii="Verdana" w:eastAsia="Times New Roman" w:hAnsi="Verdana" w:cs="Arial"/>
          <w:sz w:val="24"/>
          <w:szCs w:val="24"/>
          <w:lang w:val="ro-RO"/>
        </w:rPr>
        <w:t>f</w:t>
      </w:r>
      <w:r w:rsidR="00BF1BE3">
        <w:rPr>
          <w:rFonts w:ascii="Verdana" w:eastAsia="Times New Roman" w:hAnsi="Verdana" w:cs="Arial"/>
          <w:sz w:val="24"/>
          <w:szCs w:val="24"/>
          <w:lang w:val="ro-RO"/>
        </w:rPr>
        <w:t>)</w:t>
      </w:r>
      <w:r w:rsidR="00813E91">
        <w:rPr>
          <w:rFonts w:ascii="Verdana" w:eastAsia="Times New Roman" w:hAnsi="Verdana" w:cs="Arial"/>
          <w:sz w:val="24"/>
          <w:szCs w:val="24"/>
          <w:lang w:val="ro-RO"/>
        </w:rPr>
        <w:t xml:space="preserve"> </w:t>
      </w:r>
      <w:r w:rsidRPr="00D204B4">
        <w:rPr>
          <w:rFonts w:ascii="Verdana" w:eastAsia="Times New Roman" w:hAnsi="Verdana" w:cs="Arial"/>
          <w:sz w:val="24"/>
          <w:szCs w:val="24"/>
          <w:lang w:val="ro-RO"/>
        </w:rPr>
        <w:t xml:space="preserve">din </w:t>
      </w:r>
      <w:r w:rsidR="00813E91">
        <w:rPr>
          <w:rFonts w:ascii="Verdana" w:eastAsia="Times New Roman" w:hAnsi="Verdana" w:cs="Arial"/>
          <w:sz w:val="24"/>
          <w:szCs w:val="24"/>
          <w:lang w:val="ro-RO"/>
        </w:rPr>
        <w:t>Statutul Institutului Național pentru Pregătirea și Perfecționarea Avocaților (I.N.P.P.A.)</w:t>
      </w:r>
      <w:r w:rsidRPr="00D204B4">
        <w:rPr>
          <w:rFonts w:ascii="Verdana" w:eastAsia="Times New Roman" w:hAnsi="Verdana" w:cs="Arial"/>
          <w:sz w:val="24"/>
          <w:szCs w:val="24"/>
          <w:lang w:val="ro-RO"/>
        </w:rPr>
        <w:t>,</w:t>
      </w:r>
    </w:p>
    <w:p w14:paraId="29607A58" w14:textId="1B5D86A3" w:rsidR="00D204B4" w:rsidRPr="00D204B4" w:rsidRDefault="00D204B4" w:rsidP="00F141C5">
      <w:pPr>
        <w:spacing w:after="0" w:line="276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val="ro-RO"/>
        </w:rPr>
      </w:pPr>
      <w:r w:rsidRPr="00D204B4">
        <w:rPr>
          <w:rFonts w:ascii="Verdana" w:eastAsia="Times New Roman" w:hAnsi="Verdana" w:cs="Arial"/>
          <w:sz w:val="24"/>
          <w:szCs w:val="24"/>
          <w:lang w:val="ro-RO"/>
        </w:rPr>
        <w:t xml:space="preserve">Având în vedere </w:t>
      </w:r>
      <w:r w:rsidR="00D85862">
        <w:rPr>
          <w:rFonts w:ascii="Verdana" w:eastAsia="Times New Roman" w:hAnsi="Verdana" w:cs="Arial"/>
          <w:sz w:val="24"/>
          <w:szCs w:val="24"/>
          <w:lang w:val="ro-RO"/>
        </w:rPr>
        <w:t>exigențele realizării unei adecvate pregătiri profesionale inițiale a avocaților în domeniul disciplinelor de drept european</w:t>
      </w:r>
      <w:r w:rsidRPr="00D204B4">
        <w:rPr>
          <w:rFonts w:ascii="Verdana" w:eastAsia="Times New Roman" w:hAnsi="Verdana" w:cs="Arial"/>
          <w:sz w:val="24"/>
          <w:szCs w:val="24"/>
          <w:lang w:val="ro-RO"/>
        </w:rPr>
        <w:t>,</w:t>
      </w:r>
    </w:p>
    <w:p w14:paraId="2AFAC4B8" w14:textId="73BFEA67" w:rsidR="00D204B4" w:rsidRPr="00D204B4" w:rsidRDefault="00D204B4" w:rsidP="00F141C5">
      <w:pPr>
        <w:spacing w:after="0" w:line="276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val="ro-RO"/>
        </w:rPr>
      </w:pPr>
      <w:r w:rsidRPr="00D204B4">
        <w:rPr>
          <w:rFonts w:ascii="Verdana" w:eastAsia="Times New Roman" w:hAnsi="Verdana" w:cs="Arial"/>
          <w:sz w:val="24"/>
          <w:szCs w:val="24"/>
          <w:lang w:val="ro-RO"/>
        </w:rPr>
        <w:t xml:space="preserve">Constatând că </w:t>
      </w:r>
      <w:r w:rsidR="00B13906">
        <w:rPr>
          <w:rFonts w:ascii="Verdana" w:eastAsia="Times New Roman" w:hAnsi="Verdana" w:cs="Arial"/>
          <w:sz w:val="24"/>
          <w:szCs w:val="24"/>
          <w:lang w:val="ro-RO"/>
        </w:rPr>
        <w:t>la nivel european exista preocup</w:t>
      </w:r>
      <w:r w:rsidR="00DD224C">
        <w:rPr>
          <w:rFonts w:ascii="Verdana" w:eastAsia="Times New Roman" w:hAnsi="Verdana" w:cs="Arial"/>
          <w:sz w:val="24"/>
          <w:szCs w:val="24"/>
          <w:lang w:val="ro-RO"/>
        </w:rPr>
        <w:t>ă</w:t>
      </w:r>
      <w:r w:rsidR="00B13906">
        <w:rPr>
          <w:rFonts w:ascii="Verdana" w:eastAsia="Times New Roman" w:hAnsi="Verdana" w:cs="Arial"/>
          <w:sz w:val="24"/>
          <w:szCs w:val="24"/>
          <w:lang w:val="ro-RO"/>
        </w:rPr>
        <w:t xml:space="preserve">ri </w:t>
      </w:r>
      <w:r w:rsidR="00DD224C">
        <w:rPr>
          <w:rFonts w:ascii="Verdana" w:eastAsia="Times New Roman" w:hAnsi="Verdana" w:cs="Arial"/>
          <w:sz w:val="24"/>
          <w:szCs w:val="24"/>
          <w:lang w:val="ro-RO"/>
        </w:rPr>
        <w:t>î</w:t>
      </w:r>
      <w:r w:rsidR="00B13906">
        <w:rPr>
          <w:rFonts w:ascii="Verdana" w:eastAsia="Times New Roman" w:hAnsi="Verdana" w:cs="Arial"/>
          <w:sz w:val="24"/>
          <w:szCs w:val="24"/>
          <w:lang w:val="ro-RO"/>
        </w:rPr>
        <w:t>n sensul uniformiz</w:t>
      </w:r>
      <w:r w:rsidR="00DD224C">
        <w:rPr>
          <w:rFonts w:ascii="Verdana" w:eastAsia="Times New Roman" w:hAnsi="Verdana" w:cs="Arial"/>
          <w:sz w:val="24"/>
          <w:szCs w:val="24"/>
          <w:lang w:val="ro-RO"/>
        </w:rPr>
        <w:t>ă</w:t>
      </w:r>
      <w:r w:rsidR="00B13906">
        <w:rPr>
          <w:rFonts w:ascii="Verdana" w:eastAsia="Times New Roman" w:hAnsi="Verdana" w:cs="Arial"/>
          <w:sz w:val="24"/>
          <w:szCs w:val="24"/>
          <w:lang w:val="ro-RO"/>
        </w:rPr>
        <w:t xml:space="preserve">rii </w:t>
      </w:r>
      <w:proofErr w:type="spellStart"/>
      <w:r w:rsidR="00B13906">
        <w:rPr>
          <w:rFonts w:ascii="Verdana" w:eastAsia="Times New Roman" w:hAnsi="Verdana" w:cs="Arial"/>
          <w:sz w:val="24"/>
          <w:szCs w:val="24"/>
          <w:lang w:val="ro-RO"/>
        </w:rPr>
        <w:t>curriculei</w:t>
      </w:r>
      <w:proofErr w:type="spellEnd"/>
      <w:r w:rsidR="00B13906">
        <w:rPr>
          <w:rFonts w:ascii="Verdana" w:eastAsia="Times New Roman" w:hAnsi="Verdana" w:cs="Arial"/>
          <w:sz w:val="24"/>
          <w:szCs w:val="24"/>
          <w:lang w:val="ro-RO"/>
        </w:rPr>
        <w:t xml:space="preserve"> institutelor de formare ini</w:t>
      </w:r>
      <w:r w:rsidR="00DD224C">
        <w:rPr>
          <w:rFonts w:ascii="Verdana" w:eastAsia="Times New Roman" w:hAnsi="Verdana" w:cs="Arial"/>
          <w:sz w:val="24"/>
          <w:szCs w:val="24"/>
          <w:lang w:val="ro-RO"/>
        </w:rPr>
        <w:t>ț</w:t>
      </w:r>
      <w:r w:rsidR="00B13906">
        <w:rPr>
          <w:rFonts w:ascii="Verdana" w:eastAsia="Times New Roman" w:hAnsi="Verdana" w:cs="Arial"/>
          <w:sz w:val="24"/>
          <w:szCs w:val="24"/>
          <w:lang w:val="ro-RO"/>
        </w:rPr>
        <w:t>ial</w:t>
      </w:r>
      <w:r w:rsidR="00DD224C">
        <w:rPr>
          <w:rFonts w:ascii="Verdana" w:eastAsia="Times New Roman" w:hAnsi="Verdana" w:cs="Arial"/>
          <w:sz w:val="24"/>
          <w:szCs w:val="24"/>
          <w:lang w:val="ro-RO"/>
        </w:rPr>
        <w:t>ă</w:t>
      </w:r>
      <w:r w:rsidR="00B13906">
        <w:rPr>
          <w:rFonts w:ascii="Verdana" w:eastAsia="Times New Roman" w:hAnsi="Verdana" w:cs="Arial"/>
          <w:sz w:val="24"/>
          <w:szCs w:val="24"/>
          <w:lang w:val="ro-RO"/>
        </w:rPr>
        <w:t xml:space="preserve"> a avoca</w:t>
      </w:r>
      <w:r w:rsidR="00DD224C">
        <w:rPr>
          <w:rFonts w:ascii="Verdana" w:eastAsia="Times New Roman" w:hAnsi="Verdana" w:cs="Arial"/>
          <w:sz w:val="24"/>
          <w:szCs w:val="24"/>
          <w:lang w:val="ro-RO"/>
        </w:rPr>
        <w:t>ț</w:t>
      </w:r>
      <w:r w:rsidR="00B13906">
        <w:rPr>
          <w:rFonts w:ascii="Verdana" w:eastAsia="Times New Roman" w:hAnsi="Verdana" w:cs="Arial"/>
          <w:sz w:val="24"/>
          <w:szCs w:val="24"/>
          <w:lang w:val="ro-RO"/>
        </w:rPr>
        <w:t xml:space="preserve">ilor </w:t>
      </w:r>
      <w:r w:rsidR="00DD224C">
        <w:rPr>
          <w:rFonts w:ascii="Verdana" w:eastAsia="Times New Roman" w:hAnsi="Verdana" w:cs="Arial"/>
          <w:sz w:val="24"/>
          <w:szCs w:val="24"/>
          <w:lang w:val="ro-RO"/>
        </w:rPr>
        <w:t>î</w:t>
      </w:r>
      <w:r w:rsidR="00B13906">
        <w:rPr>
          <w:rFonts w:ascii="Verdana" w:eastAsia="Times New Roman" w:hAnsi="Verdana" w:cs="Arial"/>
          <w:sz w:val="24"/>
          <w:szCs w:val="24"/>
          <w:lang w:val="ro-RO"/>
        </w:rPr>
        <w:t>n domeniul dreptului european</w:t>
      </w:r>
      <w:r w:rsidR="00B65489">
        <w:rPr>
          <w:rFonts w:ascii="Verdana" w:eastAsia="Times New Roman" w:hAnsi="Verdana" w:cs="Arial"/>
          <w:sz w:val="24"/>
          <w:szCs w:val="24"/>
          <w:lang w:val="ro-RO"/>
        </w:rPr>
        <w:t xml:space="preserve"> </w:t>
      </w:r>
      <w:r w:rsidR="00DD224C">
        <w:rPr>
          <w:rFonts w:ascii="Verdana" w:eastAsia="Times New Roman" w:hAnsi="Verdana" w:cs="Arial"/>
          <w:sz w:val="24"/>
          <w:szCs w:val="24"/>
          <w:lang w:val="ro-RO"/>
        </w:rPr>
        <w:t>ș</w:t>
      </w:r>
      <w:r w:rsidR="00B65489">
        <w:rPr>
          <w:rFonts w:ascii="Verdana" w:eastAsia="Times New Roman" w:hAnsi="Verdana" w:cs="Arial"/>
          <w:sz w:val="24"/>
          <w:szCs w:val="24"/>
          <w:lang w:val="ro-RO"/>
        </w:rPr>
        <w:t>i c</w:t>
      </w:r>
      <w:r w:rsidR="00DD224C">
        <w:rPr>
          <w:rFonts w:ascii="Verdana" w:eastAsia="Times New Roman" w:hAnsi="Verdana" w:cs="Arial"/>
          <w:sz w:val="24"/>
          <w:szCs w:val="24"/>
          <w:lang w:val="ro-RO"/>
        </w:rPr>
        <w:t>ă</w:t>
      </w:r>
      <w:r w:rsidR="00B13906">
        <w:rPr>
          <w:rFonts w:ascii="Verdana" w:eastAsia="Times New Roman" w:hAnsi="Verdana" w:cs="Arial"/>
          <w:sz w:val="24"/>
          <w:szCs w:val="24"/>
          <w:lang w:val="ro-RO"/>
        </w:rPr>
        <w:t>,</w:t>
      </w:r>
      <w:r w:rsidR="00B65489">
        <w:rPr>
          <w:rFonts w:ascii="Verdana" w:eastAsia="Times New Roman" w:hAnsi="Verdana" w:cs="Arial"/>
          <w:sz w:val="24"/>
          <w:szCs w:val="24"/>
          <w:lang w:val="ro-RO"/>
        </w:rPr>
        <w:t xml:space="preserve"> </w:t>
      </w:r>
      <w:r w:rsidR="00DD224C">
        <w:rPr>
          <w:rFonts w:ascii="Verdana" w:eastAsia="Times New Roman" w:hAnsi="Verdana" w:cs="Arial"/>
          <w:sz w:val="24"/>
          <w:szCs w:val="24"/>
          <w:lang w:val="ro-RO"/>
        </w:rPr>
        <w:t>î</w:t>
      </w:r>
      <w:r w:rsidR="00B65489">
        <w:rPr>
          <w:rFonts w:ascii="Verdana" w:eastAsia="Times New Roman" w:hAnsi="Verdana" w:cs="Arial"/>
          <w:sz w:val="24"/>
          <w:szCs w:val="24"/>
          <w:lang w:val="ro-RO"/>
        </w:rPr>
        <w:t>n consecin</w:t>
      </w:r>
      <w:r w:rsidR="00DD224C">
        <w:rPr>
          <w:rFonts w:ascii="Verdana" w:eastAsia="Times New Roman" w:hAnsi="Verdana" w:cs="Arial"/>
          <w:sz w:val="24"/>
          <w:szCs w:val="24"/>
          <w:lang w:val="ro-RO"/>
        </w:rPr>
        <w:t>ță</w:t>
      </w:r>
      <w:r w:rsidR="00B65489">
        <w:rPr>
          <w:rFonts w:ascii="Verdana" w:eastAsia="Times New Roman" w:hAnsi="Verdana" w:cs="Arial"/>
          <w:sz w:val="24"/>
          <w:szCs w:val="24"/>
          <w:lang w:val="ro-RO"/>
        </w:rPr>
        <w:t xml:space="preserve">, </w:t>
      </w:r>
      <w:r w:rsidRPr="00D204B4">
        <w:rPr>
          <w:rFonts w:ascii="Verdana" w:eastAsia="Times New Roman" w:hAnsi="Verdana" w:cs="Arial"/>
          <w:sz w:val="24"/>
          <w:szCs w:val="24"/>
          <w:lang w:val="ro-RO"/>
        </w:rPr>
        <w:t xml:space="preserve">este necesară </w:t>
      </w:r>
      <w:r w:rsidR="00D85862">
        <w:rPr>
          <w:rFonts w:ascii="Verdana" w:eastAsia="Times New Roman" w:hAnsi="Verdana" w:cs="Arial"/>
          <w:sz w:val="24"/>
          <w:szCs w:val="24"/>
          <w:lang w:val="ro-RO"/>
        </w:rPr>
        <w:t>majorarea numărului de o</w:t>
      </w:r>
      <w:r w:rsidR="002841D6">
        <w:rPr>
          <w:rFonts w:ascii="Verdana" w:eastAsia="Times New Roman" w:hAnsi="Verdana" w:cs="Arial"/>
          <w:sz w:val="24"/>
          <w:szCs w:val="24"/>
          <w:lang w:val="ro-RO"/>
        </w:rPr>
        <w:t>r</w:t>
      </w:r>
      <w:r w:rsidR="00D85862">
        <w:rPr>
          <w:rFonts w:ascii="Verdana" w:eastAsia="Times New Roman" w:hAnsi="Verdana" w:cs="Arial"/>
          <w:sz w:val="24"/>
          <w:szCs w:val="24"/>
          <w:lang w:val="ro-RO"/>
        </w:rPr>
        <w:t>e alocate prin planul de formare inițială disciplinelor de drept european</w:t>
      </w:r>
      <w:r w:rsidRPr="00D204B4">
        <w:rPr>
          <w:rFonts w:ascii="Verdana" w:eastAsia="Times New Roman" w:hAnsi="Verdana" w:cs="Arial"/>
          <w:sz w:val="24"/>
          <w:szCs w:val="24"/>
          <w:lang w:val="ro-RO"/>
        </w:rPr>
        <w:t>,</w:t>
      </w:r>
      <w:r w:rsidR="00E21317">
        <w:rPr>
          <w:rFonts w:ascii="Verdana" w:eastAsia="Times New Roman" w:hAnsi="Verdana" w:cs="Arial"/>
          <w:sz w:val="24"/>
          <w:szCs w:val="24"/>
          <w:lang w:val="ro-RO"/>
        </w:rPr>
        <w:t xml:space="preserve"> </w:t>
      </w:r>
    </w:p>
    <w:p w14:paraId="06045389" w14:textId="3D39233E" w:rsidR="00D204B4" w:rsidRPr="00D204B4" w:rsidRDefault="00D204B4" w:rsidP="00F141C5">
      <w:pPr>
        <w:spacing w:after="0" w:line="276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val="ro-RO"/>
        </w:rPr>
      </w:pPr>
      <w:r w:rsidRPr="00D204B4">
        <w:rPr>
          <w:rFonts w:ascii="Verdana" w:eastAsia="Times New Roman" w:hAnsi="Verdana" w:cs="Arial"/>
          <w:sz w:val="24"/>
          <w:szCs w:val="24"/>
          <w:lang w:val="ro-RO"/>
        </w:rPr>
        <w:t xml:space="preserve">Comisia Permanentă a U.N.B.R., întrunită în ședința din </w:t>
      </w:r>
      <w:r w:rsidRPr="009C1807">
        <w:rPr>
          <w:rFonts w:ascii="Verdana" w:eastAsia="Times New Roman" w:hAnsi="Verdana" w:cs="Arial"/>
          <w:b/>
          <w:bCs/>
          <w:i/>
          <w:iCs/>
          <w:sz w:val="24"/>
          <w:szCs w:val="24"/>
          <w:lang w:val="ro-RO"/>
        </w:rPr>
        <w:t>2</w:t>
      </w:r>
      <w:r w:rsidR="00DD224C" w:rsidRPr="009C1807">
        <w:rPr>
          <w:rFonts w:ascii="Verdana" w:eastAsia="Times New Roman" w:hAnsi="Verdana" w:cs="Arial"/>
          <w:b/>
          <w:bCs/>
          <w:i/>
          <w:iCs/>
          <w:sz w:val="24"/>
          <w:szCs w:val="24"/>
          <w:lang w:val="ro-RO"/>
        </w:rPr>
        <w:t>3</w:t>
      </w:r>
      <w:r w:rsidR="00813E91" w:rsidRPr="009C1807">
        <w:rPr>
          <w:rFonts w:ascii="Verdana" w:eastAsia="Times New Roman" w:hAnsi="Verdana" w:cs="Arial"/>
          <w:b/>
          <w:bCs/>
          <w:i/>
          <w:iCs/>
          <w:sz w:val="24"/>
          <w:szCs w:val="24"/>
          <w:lang w:val="ro-RO"/>
        </w:rPr>
        <w:t xml:space="preserve"> </w:t>
      </w:r>
      <w:r w:rsidR="00DD224C" w:rsidRPr="009C1807">
        <w:rPr>
          <w:rFonts w:ascii="Verdana" w:eastAsia="Times New Roman" w:hAnsi="Verdana" w:cs="Arial"/>
          <w:b/>
          <w:bCs/>
          <w:i/>
          <w:iCs/>
          <w:sz w:val="24"/>
          <w:szCs w:val="24"/>
          <w:lang w:val="ro-RO"/>
        </w:rPr>
        <w:t>ianuarie</w:t>
      </w:r>
      <w:r w:rsidR="00813E91" w:rsidRPr="009C1807">
        <w:rPr>
          <w:rFonts w:ascii="Verdana" w:eastAsia="Times New Roman" w:hAnsi="Verdana" w:cs="Arial"/>
          <w:b/>
          <w:bCs/>
          <w:i/>
          <w:iCs/>
          <w:sz w:val="24"/>
          <w:szCs w:val="24"/>
          <w:lang w:val="ro-RO"/>
        </w:rPr>
        <w:t xml:space="preserve"> </w:t>
      </w:r>
      <w:r w:rsidRPr="009C1807">
        <w:rPr>
          <w:rFonts w:ascii="Verdana" w:eastAsia="Times New Roman" w:hAnsi="Verdana" w:cs="Arial"/>
          <w:b/>
          <w:bCs/>
          <w:i/>
          <w:iCs/>
          <w:sz w:val="24"/>
          <w:szCs w:val="24"/>
          <w:lang w:val="ro-RO"/>
        </w:rPr>
        <w:t>202</w:t>
      </w:r>
      <w:r w:rsidR="00DD224C" w:rsidRPr="009C1807">
        <w:rPr>
          <w:rFonts w:ascii="Verdana" w:eastAsia="Times New Roman" w:hAnsi="Verdana" w:cs="Arial"/>
          <w:b/>
          <w:bCs/>
          <w:i/>
          <w:iCs/>
          <w:sz w:val="24"/>
          <w:szCs w:val="24"/>
          <w:lang w:val="ro-RO"/>
        </w:rPr>
        <w:t>5</w:t>
      </w:r>
      <w:r w:rsidRPr="00D204B4">
        <w:rPr>
          <w:rFonts w:ascii="Verdana" w:eastAsia="Times New Roman" w:hAnsi="Verdana" w:cs="Arial"/>
          <w:sz w:val="24"/>
          <w:szCs w:val="24"/>
          <w:lang w:val="ro-RO"/>
        </w:rPr>
        <w:t xml:space="preserve">, a adoptat următoarea </w:t>
      </w:r>
    </w:p>
    <w:p w14:paraId="3C3800D4" w14:textId="77777777" w:rsidR="00D204B4" w:rsidRPr="00D204B4" w:rsidRDefault="00D204B4" w:rsidP="00D204B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ro-RO"/>
        </w:rPr>
      </w:pPr>
    </w:p>
    <w:p w14:paraId="4B848D05" w14:textId="77777777" w:rsidR="00D204B4" w:rsidRPr="00D204B4" w:rsidRDefault="00D204B4" w:rsidP="00D204B4">
      <w:pPr>
        <w:spacing w:after="0" w:line="240" w:lineRule="auto"/>
        <w:jc w:val="center"/>
        <w:rPr>
          <w:rFonts w:ascii="Verdana" w:eastAsia="Times New Roman" w:hAnsi="Verdana" w:cs="Arial"/>
          <w:b/>
          <w:sz w:val="28"/>
          <w:szCs w:val="28"/>
          <w:lang w:val="ro-RO"/>
        </w:rPr>
      </w:pPr>
      <w:r w:rsidRPr="00D204B4">
        <w:rPr>
          <w:rFonts w:ascii="Verdana" w:eastAsia="Times New Roman" w:hAnsi="Verdana" w:cs="Arial"/>
          <w:b/>
          <w:sz w:val="28"/>
          <w:szCs w:val="28"/>
          <w:lang w:val="ro-RO"/>
        </w:rPr>
        <w:t>DECIZIE:</w:t>
      </w:r>
    </w:p>
    <w:p w14:paraId="1E6ADF80" w14:textId="77777777" w:rsidR="00D204B4" w:rsidRPr="00D204B4" w:rsidRDefault="00D204B4" w:rsidP="00D204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</w:p>
    <w:p w14:paraId="5B3C6763" w14:textId="1E128170" w:rsidR="005014F7" w:rsidRDefault="006557AD" w:rsidP="00D406C4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4"/>
          <w:szCs w:val="24"/>
          <w:lang w:val="ro-RO"/>
        </w:rPr>
      </w:pPr>
      <w:r w:rsidRPr="006557AD">
        <w:rPr>
          <w:rFonts w:ascii="Verdana" w:eastAsia="Times New Roman" w:hAnsi="Verdana" w:cs="Times New Roman"/>
          <w:b/>
          <w:sz w:val="24"/>
          <w:szCs w:val="24"/>
          <w:lang w:val="ro-RO"/>
        </w:rPr>
        <w:t xml:space="preserve">Art. 1. </w:t>
      </w:r>
      <w:r w:rsidRPr="006557AD">
        <w:rPr>
          <w:rFonts w:ascii="Verdana" w:eastAsia="Times New Roman" w:hAnsi="Verdana" w:cs="Times New Roman"/>
          <w:sz w:val="24"/>
          <w:szCs w:val="24"/>
          <w:lang w:val="ro-RO"/>
        </w:rPr>
        <w:t xml:space="preserve">– </w:t>
      </w:r>
      <w:r w:rsidR="005014F7">
        <w:rPr>
          <w:rFonts w:ascii="Verdana" w:eastAsia="Times New Roman" w:hAnsi="Verdana" w:cs="Times New Roman"/>
          <w:sz w:val="24"/>
          <w:szCs w:val="24"/>
          <w:lang w:val="ro-RO"/>
        </w:rPr>
        <w:t xml:space="preserve">Se </w:t>
      </w:r>
      <w:r w:rsidR="005F40D0">
        <w:rPr>
          <w:rFonts w:ascii="Verdana" w:eastAsia="Times New Roman" w:hAnsi="Verdana" w:cs="Times New Roman"/>
          <w:sz w:val="24"/>
          <w:szCs w:val="24"/>
          <w:lang w:val="ro-RO"/>
        </w:rPr>
        <w:t>majoreaz</w:t>
      </w:r>
      <w:r w:rsidR="00DD224C">
        <w:rPr>
          <w:rFonts w:ascii="Verdana" w:eastAsia="Times New Roman" w:hAnsi="Verdana" w:cs="Times New Roman"/>
          <w:sz w:val="24"/>
          <w:szCs w:val="24"/>
          <w:lang w:val="ro-RO"/>
        </w:rPr>
        <w:t>ă</w:t>
      </w:r>
      <w:r w:rsidR="005F40D0">
        <w:rPr>
          <w:rFonts w:ascii="Verdana" w:eastAsia="Times New Roman" w:hAnsi="Verdana" w:cs="Times New Roman"/>
          <w:sz w:val="24"/>
          <w:szCs w:val="24"/>
          <w:lang w:val="ro-RO"/>
        </w:rPr>
        <w:t xml:space="preserve"> </w:t>
      </w:r>
      <w:r w:rsidR="00D85862">
        <w:rPr>
          <w:rFonts w:ascii="Verdana" w:eastAsia="Times New Roman" w:hAnsi="Verdana" w:cs="Times New Roman"/>
          <w:sz w:val="24"/>
          <w:szCs w:val="24"/>
          <w:lang w:val="ro-RO"/>
        </w:rPr>
        <w:t>numărul de ore alocate prin planul de formare ini</w:t>
      </w:r>
      <w:r w:rsidR="00DD224C">
        <w:rPr>
          <w:rFonts w:ascii="Verdana" w:eastAsia="Times New Roman" w:hAnsi="Verdana" w:cs="Times New Roman"/>
          <w:sz w:val="24"/>
          <w:szCs w:val="24"/>
          <w:lang w:val="ro-RO"/>
        </w:rPr>
        <w:t>ți</w:t>
      </w:r>
      <w:r w:rsidR="00D85862">
        <w:rPr>
          <w:rFonts w:ascii="Verdana" w:eastAsia="Times New Roman" w:hAnsi="Verdana" w:cs="Times New Roman"/>
          <w:sz w:val="24"/>
          <w:szCs w:val="24"/>
          <w:lang w:val="ro-RO"/>
        </w:rPr>
        <w:t>ală disciplinelor de drept european (Dreptul Uniunii Europene, Dreptul european al drepturilor omului, Dreptul european al muncii, respectiv Dreptul european al consumului – CT Timișoara) de la 8 ore la 10 ore.</w:t>
      </w:r>
    </w:p>
    <w:p w14:paraId="1B1BB922" w14:textId="77777777" w:rsidR="006557AD" w:rsidRPr="006557AD" w:rsidRDefault="006557AD" w:rsidP="006557A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ro-RO"/>
        </w:rPr>
      </w:pPr>
    </w:p>
    <w:p w14:paraId="119A0B8C" w14:textId="672B87BB" w:rsidR="006557AD" w:rsidRPr="006557AD" w:rsidRDefault="006557AD" w:rsidP="006557AD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4"/>
          <w:szCs w:val="24"/>
          <w:lang w:val="ro-RO"/>
        </w:rPr>
      </w:pPr>
      <w:r w:rsidRPr="006557AD">
        <w:rPr>
          <w:rFonts w:ascii="Verdana" w:eastAsia="Times New Roman" w:hAnsi="Verdana" w:cs="Times New Roman"/>
          <w:b/>
          <w:sz w:val="24"/>
          <w:szCs w:val="24"/>
          <w:lang w:val="ro-RO"/>
        </w:rPr>
        <w:t xml:space="preserve">Art. 2. </w:t>
      </w:r>
      <w:r w:rsidRPr="006557AD">
        <w:rPr>
          <w:rFonts w:ascii="Verdana" w:eastAsia="Times New Roman" w:hAnsi="Verdana" w:cs="Times New Roman"/>
          <w:sz w:val="24"/>
          <w:szCs w:val="24"/>
          <w:lang w:val="ro-RO"/>
        </w:rPr>
        <w:t xml:space="preserve">– </w:t>
      </w:r>
      <w:r w:rsidR="00D85862">
        <w:rPr>
          <w:rFonts w:ascii="Verdana" w:eastAsia="Times New Roman" w:hAnsi="Verdana" w:cs="Times New Roman"/>
          <w:sz w:val="24"/>
          <w:szCs w:val="24"/>
          <w:lang w:val="ro-RO"/>
        </w:rPr>
        <w:t>Față de prevederile art. 1, se modifică corespunzător planul de formare inițială aplicabil în sistem</w:t>
      </w:r>
      <w:r w:rsidR="004C38F5">
        <w:rPr>
          <w:rFonts w:ascii="Verdana" w:eastAsia="Times New Roman" w:hAnsi="Verdana" w:cs="Times New Roman"/>
          <w:sz w:val="24"/>
          <w:szCs w:val="24"/>
          <w:lang w:val="ro-RO"/>
        </w:rPr>
        <w:t>ul</w:t>
      </w:r>
      <w:r w:rsidR="00D85862">
        <w:rPr>
          <w:rFonts w:ascii="Verdana" w:eastAsia="Times New Roman" w:hAnsi="Verdana" w:cs="Times New Roman"/>
          <w:sz w:val="24"/>
          <w:szCs w:val="24"/>
          <w:lang w:val="ro-RO"/>
        </w:rPr>
        <w:t xml:space="preserve"> I.N.P.P.A.</w:t>
      </w:r>
      <w:r w:rsidRPr="006557AD">
        <w:rPr>
          <w:rFonts w:ascii="Verdana" w:eastAsia="Times New Roman" w:hAnsi="Verdana" w:cs="Times New Roman"/>
          <w:sz w:val="24"/>
          <w:szCs w:val="24"/>
          <w:lang w:val="ro-RO"/>
        </w:rPr>
        <w:t xml:space="preserve"> </w:t>
      </w:r>
    </w:p>
    <w:p w14:paraId="5DB9A431" w14:textId="77777777" w:rsidR="006557AD" w:rsidRPr="006557AD" w:rsidRDefault="006557AD" w:rsidP="006557AD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4"/>
          <w:szCs w:val="24"/>
          <w:lang w:val="ro-RO"/>
        </w:rPr>
      </w:pPr>
    </w:p>
    <w:p w14:paraId="06428FC4" w14:textId="77777777" w:rsidR="00D85862" w:rsidRDefault="006557AD" w:rsidP="005014F7">
      <w:pPr>
        <w:spacing w:after="0" w:line="240" w:lineRule="auto"/>
        <w:ind w:firstLine="720"/>
        <w:jc w:val="both"/>
        <w:rPr>
          <w:rFonts w:ascii="Verdana" w:eastAsia="Times New Roman" w:hAnsi="Verdana" w:cs="Arial"/>
          <w:sz w:val="24"/>
          <w:szCs w:val="24"/>
          <w:lang w:val="ro-RO"/>
        </w:rPr>
      </w:pPr>
      <w:bookmarkStart w:id="0" w:name="_Hlk187678353"/>
      <w:r w:rsidRPr="006557AD">
        <w:rPr>
          <w:rFonts w:ascii="Verdana" w:eastAsia="Times New Roman" w:hAnsi="Verdana" w:cs="Arial"/>
          <w:b/>
          <w:sz w:val="24"/>
          <w:szCs w:val="24"/>
          <w:lang w:val="ro-RO"/>
        </w:rPr>
        <w:t>Art. 3.</w:t>
      </w:r>
      <w:r w:rsidRPr="006557AD">
        <w:rPr>
          <w:rFonts w:ascii="Verdana" w:eastAsia="Times New Roman" w:hAnsi="Verdana" w:cs="Arial"/>
          <w:sz w:val="24"/>
          <w:szCs w:val="24"/>
          <w:lang w:val="ro-RO"/>
        </w:rPr>
        <w:t xml:space="preserve"> -</w:t>
      </w:r>
      <w:bookmarkEnd w:id="0"/>
      <w:r w:rsidRPr="006557AD">
        <w:rPr>
          <w:rFonts w:ascii="Verdana" w:eastAsia="Times New Roman" w:hAnsi="Verdana" w:cs="Arial"/>
          <w:sz w:val="24"/>
          <w:szCs w:val="24"/>
          <w:lang w:val="ro-RO"/>
        </w:rPr>
        <w:t xml:space="preserve">  </w:t>
      </w:r>
      <w:r w:rsidR="00D85862">
        <w:rPr>
          <w:rFonts w:ascii="Verdana" w:eastAsia="Times New Roman" w:hAnsi="Verdana" w:cs="Arial"/>
          <w:sz w:val="24"/>
          <w:szCs w:val="24"/>
          <w:lang w:val="ro-RO"/>
        </w:rPr>
        <w:t>Modificările prevăzute prin p</w:t>
      </w:r>
      <w:r w:rsidRPr="006557AD">
        <w:rPr>
          <w:rFonts w:ascii="Verdana" w:eastAsia="Times New Roman" w:hAnsi="Verdana" w:cs="Arial"/>
          <w:sz w:val="24"/>
          <w:szCs w:val="24"/>
          <w:lang w:val="ro-RO"/>
        </w:rPr>
        <w:t xml:space="preserve">rezenta </w:t>
      </w:r>
      <w:r w:rsidR="00D85862">
        <w:rPr>
          <w:rFonts w:ascii="Verdana" w:eastAsia="Times New Roman" w:hAnsi="Verdana" w:cs="Arial"/>
          <w:sz w:val="24"/>
          <w:szCs w:val="24"/>
          <w:lang w:val="ro-RO"/>
        </w:rPr>
        <w:t xml:space="preserve">decizie se aplică cu începere din ciclul de formare inițială 2025. </w:t>
      </w:r>
    </w:p>
    <w:p w14:paraId="79383BA0" w14:textId="77777777" w:rsidR="00D85862" w:rsidRDefault="00D85862" w:rsidP="005014F7">
      <w:pPr>
        <w:spacing w:after="0" w:line="240" w:lineRule="auto"/>
        <w:ind w:firstLine="720"/>
        <w:jc w:val="both"/>
        <w:rPr>
          <w:rFonts w:ascii="Verdana" w:eastAsia="Times New Roman" w:hAnsi="Verdana" w:cs="Arial"/>
          <w:sz w:val="24"/>
          <w:szCs w:val="24"/>
          <w:lang w:val="ro-RO"/>
        </w:rPr>
      </w:pPr>
    </w:p>
    <w:p w14:paraId="3A151AAC" w14:textId="7FDA076C" w:rsidR="006557AD" w:rsidRDefault="00D85862" w:rsidP="00864B64">
      <w:pPr>
        <w:spacing w:after="0" w:line="240" w:lineRule="auto"/>
        <w:ind w:firstLine="720"/>
        <w:jc w:val="both"/>
        <w:rPr>
          <w:rFonts w:ascii="Verdana" w:eastAsia="Times New Roman" w:hAnsi="Verdana" w:cs="Arial"/>
          <w:sz w:val="24"/>
          <w:szCs w:val="24"/>
          <w:lang w:val="ro-RO"/>
        </w:rPr>
      </w:pPr>
      <w:r w:rsidRPr="006557AD">
        <w:rPr>
          <w:rFonts w:ascii="Verdana" w:eastAsia="Times New Roman" w:hAnsi="Verdana" w:cs="Arial"/>
          <w:b/>
          <w:sz w:val="24"/>
          <w:szCs w:val="24"/>
          <w:lang w:val="ro-RO"/>
        </w:rPr>
        <w:t xml:space="preserve">Art. </w:t>
      </w:r>
      <w:r>
        <w:rPr>
          <w:rFonts w:ascii="Verdana" w:eastAsia="Times New Roman" w:hAnsi="Verdana" w:cs="Arial"/>
          <w:b/>
          <w:sz w:val="24"/>
          <w:szCs w:val="24"/>
          <w:lang w:val="ro-RO"/>
        </w:rPr>
        <w:t>4</w:t>
      </w:r>
      <w:r w:rsidRPr="006557AD">
        <w:rPr>
          <w:rFonts w:ascii="Verdana" w:eastAsia="Times New Roman" w:hAnsi="Verdana" w:cs="Arial"/>
          <w:b/>
          <w:sz w:val="24"/>
          <w:szCs w:val="24"/>
          <w:lang w:val="ro-RO"/>
        </w:rPr>
        <w:t>.</w:t>
      </w:r>
      <w:r w:rsidRPr="006557AD">
        <w:rPr>
          <w:rFonts w:ascii="Verdana" w:eastAsia="Times New Roman" w:hAnsi="Verdana" w:cs="Arial"/>
          <w:sz w:val="24"/>
          <w:szCs w:val="24"/>
          <w:lang w:val="ro-RO"/>
        </w:rPr>
        <w:t xml:space="preserve"> </w:t>
      </w:r>
      <w:r>
        <w:rPr>
          <w:rFonts w:ascii="Verdana" w:eastAsia="Times New Roman" w:hAnsi="Verdana" w:cs="Arial"/>
          <w:sz w:val="24"/>
          <w:szCs w:val="24"/>
          <w:lang w:val="ro-RO"/>
        </w:rPr>
        <w:t xml:space="preserve">– Prezenta decizie </w:t>
      </w:r>
      <w:r w:rsidR="006557AD" w:rsidRPr="006557AD">
        <w:rPr>
          <w:rFonts w:ascii="Verdana" w:eastAsia="Times New Roman" w:hAnsi="Verdana" w:cs="Arial"/>
          <w:sz w:val="24"/>
          <w:szCs w:val="24"/>
          <w:lang w:val="ro-RO"/>
        </w:rPr>
        <w:t xml:space="preserve">se comunică tuturor structurilor teritoriale ale I.N.P.P.A. și se publică pe pagina web a </w:t>
      </w:r>
      <w:r w:rsidR="00F141C5">
        <w:rPr>
          <w:rFonts w:ascii="Verdana" w:eastAsia="Times New Roman" w:hAnsi="Verdana" w:cs="Arial"/>
          <w:sz w:val="24"/>
          <w:szCs w:val="24"/>
          <w:lang w:val="ro-RO"/>
        </w:rPr>
        <w:t>U.N.B.R., a structurii centrale a I.N.P.P.A. și a centrelor teritoriale ale I.N.P.P.A.</w:t>
      </w:r>
    </w:p>
    <w:p w14:paraId="5C540920" w14:textId="77777777" w:rsidR="00864B64" w:rsidRDefault="00864B64" w:rsidP="00864B64">
      <w:pPr>
        <w:spacing w:after="0" w:line="240" w:lineRule="auto"/>
        <w:ind w:firstLine="720"/>
        <w:jc w:val="both"/>
        <w:rPr>
          <w:rFonts w:ascii="Verdana" w:eastAsia="Times New Roman" w:hAnsi="Verdana" w:cs="Arial"/>
          <w:sz w:val="24"/>
          <w:szCs w:val="24"/>
          <w:lang w:val="ro-RO"/>
        </w:rPr>
      </w:pPr>
    </w:p>
    <w:p w14:paraId="506334DB" w14:textId="77777777" w:rsidR="00864B64" w:rsidRDefault="00864B64" w:rsidP="00864B64">
      <w:pPr>
        <w:spacing w:after="0" w:line="240" w:lineRule="auto"/>
        <w:ind w:firstLine="720"/>
        <w:jc w:val="both"/>
        <w:rPr>
          <w:rFonts w:ascii="Verdana" w:eastAsia="Times New Roman" w:hAnsi="Verdana" w:cs="Arial"/>
          <w:sz w:val="24"/>
          <w:szCs w:val="24"/>
          <w:lang w:val="ro-RO"/>
        </w:rPr>
      </w:pPr>
    </w:p>
    <w:p w14:paraId="6B4E575A" w14:textId="77777777" w:rsidR="00864B64" w:rsidRPr="00864B64" w:rsidRDefault="00864B64" w:rsidP="00864B64">
      <w:pPr>
        <w:spacing w:after="0" w:line="240" w:lineRule="auto"/>
        <w:ind w:firstLine="720"/>
        <w:jc w:val="both"/>
        <w:rPr>
          <w:rFonts w:ascii="Verdana" w:eastAsia="Times New Roman" w:hAnsi="Verdana" w:cs="Arial"/>
          <w:sz w:val="24"/>
          <w:szCs w:val="24"/>
          <w:lang w:val="ro-RO"/>
        </w:rPr>
      </w:pPr>
    </w:p>
    <w:p w14:paraId="04A58E62" w14:textId="6677F799" w:rsidR="00F141C5" w:rsidRDefault="00D204B4" w:rsidP="009C1807">
      <w:pPr>
        <w:spacing w:after="0" w:line="240" w:lineRule="auto"/>
        <w:jc w:val="center"/>
        <w:rPr>
          <w:b/>
          <w:lang w:val="ro-RO"/>
        </w:rPr>
      </w:pPr>
      <w:r w:rsidRPr="00D204B4">
        <w:rPr>
          <w:rFonts w:ascii="Arial" w:eastAsia="Times New Roman" w:hAnsi="Arial" w:cs="Arial"/>
          <w:b/>
          <w:sz w:val="24"/>
          <w:szCs w:val="24"/>
          <w:lang w:val="ro-RO"/>
        </w:rPr>
        <w:t>COMISIA PERMANENTĂ A UNIUNII NAȚIONALE A BAROURILOR DIN ROMÂNIA</w:t>
      </w:r>
    </w:p>
    <w:sectPr w:rsidR="00F141C5" w:rsidSect="009C1807">
      <w:pgSz w:w="12240" w:h="15840"/>
      <w:pgMar w:top="993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41F49" w14:textId="77777777" w:rsidR="00BC6761" w:rsidRDefault="00BC6761" w:rsidP="00D204B4">
      <w:pPr>
        <w:spacing w:after="0" w:line="240" w:lineRule="auto"/>
      </w:pPr>
      <w:r>
        <w:separator/>
      </w:r>
    </w:p>
  </w:endnote>
  <w:endnote w:type="continuationSeparator" w:id="0">
    <w:p w14:paraId="784CC823" w14:textId="77777777" w:rsidR="00BC6761" w:rsidRDefault="00BC6761" w:rsidP="00D2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79478" w14:textId="77777777" w:rsidR="00BC6761" w:rsidRDefault="00BC6761" w:rsidP="00D204B4">
      <w:pPr>
        <w:spacing w:after="0" w:line="240" w:lineRule="auto"/>
      </w:pPr>
      <w:r>
        <w:separator/>
      </w:r>
    </w:p>
  </w:footnote>
  <w:footnote w:type="continuationSeparator" w:id="0">
    <w:p w14:paraId="524EFFA1" w14:textId="77777777" w:rsidR="00BC6761" w:rsidRDefault="00BC6761" w:rsidP="00D20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47B3"/>
    <w:multiLevelType w:val="hybridMultilevel"/>
    <w:tmpl w:val="0D223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1CFF"/>
    <w:multiLevelType w:val="hybridMultilevel"/>
    <w:tmpl w:val="F0A6C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4A67"/>
    <w:multiLevelType w:val="hybridMultilevel"/>
    <w:tmpl w:val="DD000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6027F"/>
    <w:multiLevelType w:val="hybridMultilevel"/>
    <w:tmpl w:val="13E24B00"/>
    <w:lvl w:ilvl="0" w:tplc="033EC1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28FF"/>
    <w:multiLevelType w:val="hybridMultilevel"/>
    <w:tmpl w:val="DAF6B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7174E"/>
    <w:multiLevelType w:val="hybridMultilevel"/>
    <w:tmpl w:val="7BF4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D6D10"/>
    <w:multiLevelType w:val="hybridMultilevel"/>
    <w:tmpl w:val="5052A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719DD"/>
    <w:multiLevelType w:val="hybridMultilevel"/>
    <w:tmpl w:val="30F6B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76050"/>
    <w:multiLevelType w:val="hybridMultilevel"/>
    <w:tmpl w:val="73C0F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91FB4"/>
    <w:multiLevelType w:val="hybridMultilevel"/>
    <w:tmpl w:val="0F28D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E4B25"/>
    <w:multiLevelType w:val="hybridMultilevel"/>
    <w:tmpl w:val="2F1EF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D31F9"/>
    <w:multiLevelType w:val="hybridMultilevel"/>
    <w:tmpl w:val="82DCA144"/>
    <w:lvl w:ilvl="0" w:tplc="8508E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03106">
    <w:abstractNumId w:val="0"/>
  </w:num>
  <w:num w:numId="2" w16cid:durableId="758910106">
    <w:abstractNumId w:val="11"/>
  </w:num>
  <w:num w:numId="3" w16cid:durableId="130982372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973631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3742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2932">
    <w:abstractNumId w:val="6"/>
  </w:num>
  <w:num w:numId="7" w16cid:durableId="951791259">
    <w:abstractNumId w:val="8"/>
  </w:num>
  <w:num w:numId="8" w16cid:durableId="698430992">
    <w:abstractNumId w:val="2"/>
  </w:num>
  <w:num w:numId="9" w16cid:durableId="404763059">
    <w:abstractNumId w:val="9"/>
  </w:num>
  <w:num w:numId="10" w16cid:durableId="1526286136">
    <w:abstractNumId w:val="4"/>
  </w:num>
  <w:num w:numId="11" w16cid:durableId="1368523891">
    <w:abstractNumId w:val="1"/>
  </w:num>
  <w:num w:numId="12" w16cid:durableId="122117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DF"/>
    <w:rsid w:val="000835DE"/>
    <w:rsid w:val="001A5237"/>
    <w:rsid w:val="001F5EC7"/>
    <w:rsid w:val="001F680F"/>
    <w:rsid w:val="00227E2F"/>
    <w:rsid w:val="00266894"/>
    <w:rsid w:val="002841D6"/>
    <w:rsid w:val="002A5DD5"/>
    <w:rsid w:val="002F33B5"/>
    <w:rsid w:val="002F5DBF"/>
    <w:rsid w:val="003164A9"/>
    <w:rsid w:val="004C38F5"/>
    <w:rsid w:val="004F1881"/>
    <w:rsid w:val="004F2709"/>
    <w:rsid w:val="005014F7"/>
    <w:rsid w:val="00506CA9"/>
    <w:rsid w:val="00525C27"/>
    <w:rsid w:val="005B0DCE"/>
    <w:rsid w:val="005C06EC"/>
    <w:rsid w:val="005D19E0"/>
    <w:rsid w:val="005D3765"/>
    <w:rsid w:val="005F40D0"/>
    <w:rsid w:val="00614C86"/>
    <w:rsid w:val="00621A75"/>
    <w:rsid w:val="0063118C"/>
    <w:rsid w:val="006557AD"/>
    <w:rsid w:val="006565B9"/>
    <w:rsid w:val="006B66C8"/>
    <w:rsid w:val="0079592A"/>
    <w:rsid w:val="007C7508"/>
    <w:rsid w:val="007E4BD7"/>
    <w:rsid w:val="00813E91"/>
    <w:rsid w:val="00843C15"/>
    <w:rsid w:val="00864B64"/>
    <w:rsid w:val="008C6D76"/>
    <w:rsid w:val="008D203B"/>
    <w:rsid w:val="008D45DB"/>
    <w:rsid w:val="009C1807"/>
    <w:rsid w:val="009E6B02"/>
    <w:rsid w:val="00A303FD"/>
    <w:rsid w:val="00A739F3"/>
    <w:rsid w:val="00AA6DFC"/>
    <w:rsid w:val="00AC077B"/>
    <w:rsid w:val="00B115DF"/>
    <w:rsid w:val="00B13906"/>
    <w:rsid w:val="00B22569"/>
    <w:rsid w:val="00B65489"/>
    <w:rsid w:val="00BB010C"/>
    <w:rsid w:val="00BB77F9"/>
    <w:rsid w:val="00BC6761"/>
    <w:rsid w:val="00BF1BE3"/>
    <w:rsid w:val="00C04194"/>
    <w:rsid w:val="00C51466"/>
    <w:rsid w:val="00D204B4"/>
    <w:rsid w:val="00D406C4"/>
    <w:rsid w:val="00D85862"/>
    <w:rsid w:val="00DD224C"/>
    <w:rsid w:val="00DD55E8"/>
    <w:rsid w:val="00DF4940"/>
    <w:rsid w:val="00E21317"/>
    <w:rsid w:val="00E8123F"/>
    <w:rsid w:val="00F141C5"/>
    <w:rsid w:val="00F27C8C"/>
    <w:rsid w:val="00F857E5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FF5C"/>
  <w15:chartTrackingRefBased/>
  <w15:docId w15:val="{FA1085F1-9811-44BD-9CC2-BD232BF8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5DF"/>
    <w:pPr>
      <w:ind w:left="720"/>
      <w:contextualSpacing/>
    </w:pPr>
  </w:style>
  <w:style w:type="paragraph" w:customStyle="1" w:styleId="Default">
    <w:name w:val="Default"/>
    <w:rsid w:val="00A30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2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3C1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rsid w:val="00D204B4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rsid w:val="00D204B4"/>
    <w:rPr>
      <w:rFonts w:ascii="Tahoma" w:eastAsia="Times New Roman" w:hAnsi="Tahoma" w:cs="Times New Roman"/>
      <w:sz w:val="20"/>
      <w:szCs w:val="20"/>
      <w:lang w:val="ro-RO"/>
    </w:rPr>
  </w:style>
  <w:style w:type="character" w:styleId="FootnoteReference">
    <w:name w:val="footnote reference"/>
    <w:rsid w:val="00D204B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Oancea</dc:creator>
  <cp:keywords/>
  <dc:description/>
  <cp:lastModifiedBy>Sandu Gherasim</cp:lastModifiedBy>
  <cp:revision>5</cp:revision>
  <cp:lastPrinted>2025-01-21T09:07:00Z</cp:lastPrinted>
  <dcterms:created xsi:type="dcterms:W3CDTF">2025-01-21T09:08:00Z</dcterms:created>
  <dcterms:modified xsi:type="dcterms:W3CDTF">2025-01-28T09:43:00Z</dcterms:modified>
</cp:coreProperties>
</file>