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2D80" w14:textId="77777777" w:rsidR="00480505" w:rsidRPr="00230DE4" w:rsidRDefault="00480505" w:rsidP="00FA2C9D">
      <w:pPr>
        <w:spacing w:line="276" w:lineRule="auto"/>
        <w:jc w:val="center"/>
        <w:rPr>
          <w:rFonts w:ascii="Calibri" w:hAnsi="Calibri" w:cs="Calibri"/>
          <w:b/>
          <w:bCs/>
          <w:sz w:val="36"/>
          <w:szCs w:val="36"/>
        </w:rPr>
      </w:pPr>
      <w:r w:rsidRPr="00230DE4">
        <w:rPr>
          <w:rFonts w:ascii="Calibri" w:hAnsi="Calibri" w:cs="Calibri"/>
          <w:b/>
          <w:bCs/>
          <w:sz w:val="36"/>
          <w:szCs w:val="36"/>
        </w:rPr>
        <w:t>UNIUNEA NAŢIONALĂ A BAROURILOR DIN ROMÂNIA</w:t>
      </w:r>
    </w:p>
    <w:p w14:paraId="14034731" w14:textId="721D8027" w:rsidR="00480505" w:rsidRPr="00230DE4" w:rsidRDefault="00480505" w:rsidP="00FA2C9D">
      <w:pPr>
        <w:spacing w:line="276" w:lineRule="auto"/>
        <w:jc w:val="center"/>
        <w:rPr>
          <w:rFonts w:ascii="Calibri" w:hAnsi="Calibri" w:cs="Calibri"/>
          <w:b/>
          <w:bCs/>
          <w:iCs/>
          <w:sz w:val="36"/>
          <w:szCs w:val="36"/>
        </w:rPr>
      </w:pPr>
      <w:r w:rsidRPr="00230DE4">
        <w:rPr>
          <w:rFonts w:ascii="Calibri" w:hAnsi="Calibri" w:cs="Calibri"/>
          <w:b/>
          <w:bCs/>
          <w:iCs/>
          <w:sz w:val="36"/>
          <w:szCs w:val="36"/>
        </w:rPr>
        <w:t>CO</w:t>
      </w:r>
      <w:r w:rsidR="007024C8" w:rsidRPr="00230DE4">
        <w:rPr>
          <w:rFonts w:ascii="Calibri" w:hAnsi="Calibri" w:cs="Calibri"/>
          <w:b/>
          <w:bCs/>
          <w:iCs/>
          <w:sz w:val="36"/>
          <w:szCs w:val="36"/>
        </w:rPr>
        <w:t>MISIA   PERMANENTĂ</w:t>
      </w:r>
    </w:p>
    <w:p w14:paraId="13E6C986" w14:textId="77777777" w:rsidR="009B58A2" w:rsidRPr="00230DE4" w:rsidRDefault="009B58A2" w:rsidP="00FA2C9D">
      <w:pPr>
        <w:spacing w:line="276" w:lineRule="auto"/>
        <w:jc w:val="center"/>
        <w:rPr>
          <w:rFonts w:ascii="Calibri" w:hAnsi="Calibri" w:cs="Calibri"/>
          <w:b/>
          <w:bCs/>
          <w:w w:val="200"/>
          <w:sz w:val="32"/>
          <w:szCs w:val="32"/>
        </w:rPr>
      </w:pPr>
    </w:p>
    <w:p w14:paraId="7EED7C5A" w14:textId="77777777" w:rsidR="00FA2C9D" w:rsidRPr="00230DE4" w:rsidRDefault="00FA2C9D" w:rsidP="00FA2C9D">
      <w:pPr>
        <w:spacing w:line="276" w:lineRule="auto"/>
        <w:jc w:val="center"/>
        <w:rPr>
          <w:rFonts w:ascii="Calibri" w:hAnsi="Calibri" w:cs="Calibri"/>
          <w:b/>
          <w:bCs/>
          <w:w w:val="200"/>
          <w:sz w:val="32"/>
          <w:szCs w:val="32"/>
        </w:rPr>
      </w:pPr>
    </w:p>
    <w:p w14:paraId="07E6645B" w14:textId="77777777" w:rsidR="00007ED0" w:rsidRPr="00230DE4" w:rsidRDefault="00007ED0" w:rsidP="00FA2C9D">
      <w:pPr>
        <w:spacing w:line="276" w:lineRule="auto"/>
        <w:jc w:val="center"/>
        <w:rPr>
          <w:rFonts w:ascii="Calibri" w:hAnsi="Calibri" w:cs="Calibri"/>
          <w:b/>
          <w:bCs/>
          <w:w w:val="200"/>
          <w:sz w:val="32"/>
          <w:szCs w:val="32"/>
        </w:rPr>
      </w:pPr>
    </w:p>
    <w:p w14:paraId="2DF5C389" w14:textId="448B6E2F" w:rsidR="0004512A" w:rsidRPr="00230DE4" w:rsidRDefault="007024C8" w:rsidP="00FA2C9D">
      <w:pPr>
        <w:spacing w:line="276" w:lineRule="auto"/>
        <w:jc w:val="center"/>
        <w:rPr>
          <w:rFonts w:ascii="Calibri" w:hAnsi="Calibri" w:cs="Calibri"/>
          <w:b/>
          <w:bCs/>
          <w:iCs/>
          <w:sz w:val="32"/>
          <w:szCs w:val="32"/>
          <w:u w:val="single"/>
        </w:rPr>
      </w:pPr>
      <w:r w:rsidRPr="00230DE4">
        <w:rPr>
          <w:rFonts w:ascii="Calibri" w:hAnsi="Calibri" w:cs="Calibri"/>
          <w:b/>
          <w:bCs/>
          <w:iCs/>
          <w:sz w:val="32"/>
          <w:szCs w:val="32"/>
          <w:u w:val="single"/>
        </w:rPr>
        <w:t>D E C I Z I A</w:t>
      </w:r>
      <w:r w:rsidR="00B6170B" w:rsidRPr="00230DE4">
        <w:rPr>
          <w:rFonts w:ascii="Calibri" w:hAnsi="Calibri" w:cs="Calibri"/>
          <w:b/>
          <w:bCs/>
          <w:iCs/>
          <w:sz w:val="32"/>
          <w:szCs w:val="32"/>
          <w:u w:val="single"/>
        </w:rPr>
        <w:t xml:space="preserve"> </w:t>
      </w:r>
      <w:r w:rsidR="003D59AA" w:rsidRPr="00230DE4">
        <w:rPr>
          <w:rFonts w:ascii="Calibri" w:hAnsi="Calibri" w:cs="Calibri"/>
          <w:b/>
          <w:bCs/>
          <w:iCs/>
          <w:sz w:val="32"/>
          <w:szCs w:val="32"/>
          <w:u w:val="single"/>
        </w:rPr>
        <w:t xml:space="preserve"> </w:t>
      </w:r>
      <w:r w:rsidR="00B6170B" w:rsidRPr="00230DE4">
        <w:rPr>
          <w:rFonts w:ascii="Calibri" w:hAnsi="Calibri" w:cs="Calibri"/>
          <w:b/>
          <w:bCs/>
          <w:iCs/>
          <w:sz w:val="32"/>
          <w:szCs w:val="32"/>
          <w:u w:val="single"/>
        </w:rPr>
        <w:t xml:space="preserve"> </w:t>
      </w:r>
      <w:r w:rsidR="003D59AA" w:rsidRPr="00230DE4">
        <w:rPr>
          <w:rFonts w:ascii="Calibri" w:hAnsi="Calibri" w:cs="Calibri"/>
          <w:b/>
          <w:bCs/>
          <w:iCs/>
          <w:sz w:val="32"/>
          <w:szCs w:val="32"/>
          <w:u w:val="single"/>
        </w:rPr>
        <w:t>nr</w:t>
      </w:r>
      <w:bookmarkStart w:id="0" w:name="_Hlk181606529"/>
      <w:r w:rsidR="003D59AA" w:rsidRPr="00230DE4">
        <w:rPr>
          <w:rFonts w:ascii="Calibri" w:hAnsi="Calibri" w:cs="Calibri"/>
          <w:b/>
          <w:bCs/>
          <w:iCs/>
          <w:sz w:val="32"/>
          <w:szCs w:val="32"/>
          <w:u w:val="single"/>
        </w:rPr>
        <w:t xml:space="preserve">. </w:t>
      </w:r>
      <w:r w:rsidR="00B6170B" w:rsidRPr="00230DE4">
        <w:rPr>
          <w:rFonts w:ascii="Calibri" w:hAnsi="Calibri" w:cs="Calibri"/>
          <w:b/>
          <w:bCs/>
          <w:iCs/>
          <w:sz w:val="32"/>
          <w:szCs w:val="32"/>
          <w:u w:val="single"/>
        </w:rPr>
        <w:t xml:space="preserve">  </w:t>
      </w:r>
      <w:r w:rsidR="00B230D9" w:rsidRPr="00230DE4">
        <w:rPr>
          <w:rFonts w:ascii="Calibri" w:hAnsi="Calibri" w:cs="Calibri"/>
          <w:b/>
          <w:bCs/>
          <w:iCs/>
          <w:sz w:val="32"/>
          <w:szCs w:val="32"/>
          <w:u w:val="single"/>
        </w:rPr>
        <w:t>2</w:t>
      </w:r>
      <w:r w:rsidR="000848DB" w:rsidRPr="00230DE4">
        <w:rPr>
          <w:rFonts w:ascii="Calibri" w:hAnsi="Calibri" w:cs="Calibri"/>
          <w:b/>
          <w:bCs/>
          <w:iCs/>
          <w:sz w:val="32"/>
          <w:szCs w:val="32"/>
          <w:u w:val="single"/>
        </w:rPr>
        <w:t>60</w:t>
      </w:r>
    </w:p>
    <w:p w14:paraId="485B2BF2" w14:textId="4D0DBE17" w:rsidR="002A4BBD" w:rsidRPr="00230DE4" w:rsidRDefault="000848DB" w:rsidP="00FA2C9D">
      <w:pPr>
        <w:spacing w:line="276" w:lineRule="auto"/>
        <w:jc w:val="center"/>
        <w:rPr>
          <w:rFonts w:ascii="Calibri" w:hAnsi="Calibri" w:cs="Calibri"/>
          <w:b/>
          <w:bCs/>
          <w:i/>
          <w:iCs/>
          <w:sz w:val="32"/>
          <w:szCs w:val="32"/>
        </w:rPr>
      </w:pPr>
      <w:r w:rsidRPr="00230DE4">
        <w:rPr>
          <w:rFonts w:ascii="Calibri" w:hAnsi="Calibri" w:cs="Calibri"/>
          <w:b/>
          <w:bCs/>
          <w:i/>
          <w:iCs/>
          <w:sz w:val="32"/>
          <w:szCs w:val="32"/>
        </w:rPr>
        <w:t xml:space="preserve">23 </w:t>
      </w:r>
      <w:r w:rsidR="00D52A87" w:rsidRPr="00230DE4">
        <w:rPr>
          <w:rFonts w:ascii="Calibri" w:hAnsi="Calibri" w:cs="Calibri"/>
          <w:b/>
          <w:bCs/>
          <w:i/>
          <w:iCs/>
          <w:sz w:val="32"/>
          <w:szCs w:val="32"/>
        </w:rPr>
        <w:t>ianuarie 2025</w:t>
      </w:r>
    </w:p>
    <w:bookmarkEnd w:id="0"/>
    <w:p w14:paraId="4B2CB156" w14:textId="77777777" w:rsidR="000A5F37" w:rsidRPr="00230DE4" w:rsidRDefault="000A5F37" w:rsidP="00FA2C9D">
      <w:pPr>
        <w:spacing w:line="276" w:lineRule="auto"/>
        <w:jc w:val="center"/>
        <w:rPr>
          <w:rFonts w:ascii="Calibri" w:eastAsia="Calibri" w:hAnsi="Calibri" w:cs="Calibri"/>
          <w:sz w:val="32"/>
          <w:szCs w:val="32"/>
          <w:lang w:eastAsia="en-US"/>
        </w:rPr>
      </w:pPr>
    </w:p>
    <w:p w14:paraId="0AE1D337" w14:textId="77777777" w:rsidR="00FA2C9D" w:rsidRPr="00230DE4" w:rsidRDefault="00FA2C9D" w:rsidP="00FA2C9D">
      <w:pPr>
        <w:spacing w:line="276" w:lineRule="auto"/>
        <w:jc w:val="center"/>
        <w:rPr>
          <w:rFonts w:ascii="Calibri" w:eastAsia="Calibri" w:hAnsi="Calibri" w:cs="Calibri"/>
          <w:sz w:val="32"/>
          <w:szCs w:val="32"/>
          <w:lang w:eastAsia="en-US"/>
        </w:rPr>
      </w:pPr>
    </w:p>
    <w:p w14:paraId="37DFEA88" w14:textId="57C88FC0" w:rsidR="00BF385E" w:rsidRPr="00230DE4" w:rsidRDefault="00BF385E" w:rsidP="00FA2C9D">
      <w:pPr>
        <w:spacing w:line="276" w:lineRule="auto"/>
        <w:ind w:firstLine="567"/>
        <w:jc w:val="both"/>
        <w:rPr>
          <w:rFonts w:ascii="Calibri" w:hAnsi="Calibri" w:cs="Calibri"/>
          <w:i/>
        </w:rPr>
      </w:pPr>
      <w:r w:rsidRPr="00230DE4">
        <w:rPr>
          <w:rFonts w:ascii="Calibri" w:hAnsi="Calibri" w:cs="Calibri"/>
          <w:i/>
        </w:rPr>
        <w:t xml:space="preserve">În baza dispozițiilor </w:t>
      </w:r>
      <w:r w:rsidR="000848DB" w:rsidRPr="00230DE4">
        <w:rPr>
          <w:rFonts w:ascii="Calibri" w:hAnsi="Calibri" w:cs="Calibri"/>
          <w:i/>
        </w:rPr>
        <w:t xml:space="preserve">art. </w:t>
      </w:r>
      <w:r w:rsidR="000848DB" w:rsidRPr="00230DE4">
        <w:rPr>
          <w:rFonts w:ascii="Calibri" w:hAnsi="Calibri" w:cs="Calibri"/>
          <w:i/>
          <w:sz w:val="22"/>
          <w:szCs w:val="22"/>
        </w:rPr>
        <w:t xml:space="preserve">65 lit. a), c) d), ș), precum și ale </w:t>
      </w:r>
      <w:r w:rsidRPr="00230DE4">
        <w:rPr>
          <w:rFonts w:ascii="Calibri" w:hAnsi="Calibri" w:cs="Calibri"/>
          <w:i/>
        </w:rPr>
        <w:t xml:space="preserve">art. 67 alin. </w:t>
      </w:r>
      <w:r w:rsidR="00920D4B" w:rsidRPr="00230DE4">
        <w:rPr>
          <w:rFonts w:ascii="Calibri" w:hAnsi="Calibri" w:cs="Calibri"/>
          <w:i/>
        </w:rPr>
        <w:t>(</w:t>
      </w:r>
      <w:r w:rsidRPr="00230DE4">
        <w:rPr>
          <w:rFonts w:ascii="Calibri" w:hAnsi="Calibri" w:cs="Calibri"/>
          <w:i/>
        </w:rPr>
        <w:t>1</w:t>
      </w:r>
      <w:r w:rsidR="00920D4B" w:rsidRPr="00230DE4">
        <w:rPr>
          <w:rFonts w:ascii="Calibri" w:hAnsi="Calibri" w:cs="Calibri"/>
          <w:i/>
        </w:rPr>
        <w:t>)</w:t>
      </w:r>
      <w:r w:rsidRPr="00230DE4">
        <w:rPr>
          <w:rFonts w:ascii="Calibri" w:hAnsi="Calibri" w:cs="Calibri"/>
          <w:i/>
        </w:rPr>
        <w:t xml:space="preserve"> lit. a) și (3) din Legea nr. 51/1995 privind organizarea şi exercitarea profesiei de avocat, cu modificările şi completările ulterioare, </w:t>
      </w:r>
    </w:p>
    <w:p w14:paraId="243536E1" w14:textId="6BC8FF85" w:rsidR="00BF385E" w:rsidRPr="00230DE4" w:rsidRDefault="00BF385E" w:rsidP="00FA2C9D">
      <w:pPr>
        <w:spacing w:line="276" w:lineRule="auto"/>
        <w:ind w:firstLine="567"/>
        <w:jc w:val="both"/>
        <w:rPr>
          <w:rFonts w:ascii="Calibri" w:hAnsi="Calibri" w:cs="Calibri"/>
          <w:i/>
        </w:rPr>
      </w:pPr>
      <w:r w:rsidRPr="00230DE4">
        <w:rPr>
          <w:rFonts w:ascii="Calibri" w:hAnsi="Calibri" w:cs="Calibri"/>
          <w:i/>
        </w:rPr>
        <w:t xml:space="preserve">Ținând cont de faptul că, </w:t>
      </w:r>
      <w:r w:rsidR="00AA281F" w:rsidRPr="00230DE4">
        <w:rPr>
          <w:rFonts w:ascii="Calibri" w:hAnsi="Calibri" w:cs="Calibri"/>
          <w:i/>
        </w:rPr>
        <w:t>prin</w:t>
      </w:r>
      <w:r w:rsidRPr="00230DE4">
        <w:rPr>
          <w:rFonts w:ascii="Calibri" w:hAnsi="Calibri" w:cs="Calibri"/>
          <w:i/>
        </w:rPr>
        <w:t xml:space="preserve"> Hotărâr</w:t>
      </w:r>
      <w:r w:rsidR="00AA281F" w:rsidRPr="00230DE4">
        <w:rPr>
          <w:rFonts w:ascii="Calibri" w:hAnsi="Calibri" w:cs="Calibri"/>
          <w:i/>
        </w:rPr>
        <w:t>ea</w:t>
      </w:r>
      <w:r w:rsidRPr="00230DE4">
        <w:rPr>
          <w:rFonts w:ascii="Calibri" w:hAnsi="Calibri" w:cs="Calibri"/>
          <w:i/>
        </w:rPr>
        <w:t xml:space="preserve"> Consiliului UNBR nr. 98/30.08.2024, </w:t>
      </w:r>
      <w:r w:rsidR="00AA281F" w:rsidRPr="00230DE4">
        <w:rPr>
          <w:rFonts w:ascii="Calibri" w:hAnsi="Calibri" w:cs="Calibri"/>
          <w:i/>
        </w:rPr>
        <w:t>au fost aprobate</w:t>
      </w:r>
      <w:r w:rsidRPr="00230DE4">
        <w:rPr>
          <w:rFonts w:ascii="Calibri" w:hAnsi="Calibri" w:cs="Calibri"/>
          <w:i/>
        </w:rPr>
        <w:t xml:space="preserve"> normele interne ale Uniunii Naționale a Barourilor din România (UNBR), </w:t>
      </w:r>
      <w:bookmarkStart w:id="1" w:name="_Hlk178668596"/>
      <w:r w:rsidRPr="00230DE4">
        <w:rPr>
          <w:rFonts w:ascii="Calibri" w:hAnsi="Calibri" w:cs="Calibri"/>
          <w:i/>
        </w:rPr>
        <w:t>date în aplicarea Legii nr. 129/2019 pentru prevenirea și combaterea spălării banilor și finanțării terorismului</w:t>
      </w:r>
      <w:bookmarkEnd w:id="1"/>
      <w:r w:rsidRPr="00230DE4">
        <w:rPr>
          <w:rFonts w:ascii="Calibri" w:hAnsi="Calibri" w:cs="Calibri"/>
          <w:i/>
        </w:rPr>
        <w:t>,</w:t>
      </w:r>
      <w:r w:rsidRPr="00230DE4">
        <w:rPr>
          <w:rFonts w:ascii="Calibri" w:hAnsi="Calibri" w:cs="Calibri"/>
        </w:rPr>
        <w:t xml:space="preserve"> </w:t>
      </w:r>
      <w:r w:rsidRPr="00230DE4">
        <w:rPr>
          <w:rFonts w:ascii="Calibri" w:hAnsi="Calibri" w:cs="Calibri"/>
          <w:i/>
        </w:rPr>
        <w:t>conform</w:t>
      </w:r>
      <w:r w:rsidRPr="00230DE4">
        <w:rPr>
          <w:rFonts w:ascii="Calibri" w:hAnsi="Calibri" w:cs="Calibri"/>
          <w:i/>
          <w:iCs/>
        </w:rPr>
        <w:t xml:space="preserve"> </w:t>
      </w:r>
      <w:r w:rsidRPr="00230DE4">
        <w:rPr>
          <w:rFonts w:ascii="Calibri" w:hAnsi="Calibri" w:cs="Calibri"/>
          <w:i/>
        </w:rPr>
        <w:t>prevederilor art. 2 lit. n) și art. 59 alin. (1) din Legea nr. 129/2019 coroborat cu art. 3 lit. d) și art. 4 alin. (2) lit. d) din Ordinul Președintelui O.N.P.C.S.B. nr. 37/2021</w:t>
      </w:r>
      <w:r w:rsidR="00AA281F" w:rsidRPr="00230DE4">
        <w:rPr>
          <w:rFonts w:ascii="Calibri" w:hAnsi="Calibri" w:cs="Calibri"/>
          <w:i/>
        </w:rPr>
        <w:t xml:space="preserve">, urmând a intra în vigoare la data de 01.10.2024 </w:t>
      </w:r>
      <w:r w:rsidRPr="00230DE4">
        <w:rPr>
          <w:rFonts w:ascii="Calibri" w:hAnsi="Calibri" w:cs="Calibri"/>
          <w:i/>
        </w:rPr>
        <w:t>;</w:t>
      </w:r>
    </w:p>
    <w:p w14:paraId="2887168E" w14:textId="77777777" w:rsidR="00BF385E" w:rsidRPr="00230DE4" w:rsidRDefault="00BF385E" w:rsidP="00FA2C9D">
      <w:pPr>
        <w:spacing w:line="276" w:lineRule="auto"/>
        <w:ind w:firstLine="567"/>
        <w:jc w:val="both"/>
        <w:rPr>
          <w:rFonts w:ascii="Calibri" w:hAnsi="Calibri" w:cs="Calibri"/>
          <w:i/>
        </w:rPr>
      </w:pPr>
      <w:r w:rsidRPr="00230DE4">
        <w:rPr>
          <w:rFonts w:ascii="Calibri" w:hAnsi="Calibri" w:cs="Calibri"/>
          <w:i/>
        </w:rPr>
        <w:t xml:space="preserve">Văzând că, prin Hotărârea Consiliului UNBR nr. 98/30.08.2024, s-a stabilit că, până la data de 15.09.2024, barourile și avocații pot remite propuneri și observații pe adresa de email </w:t>
      </w:r>
      <w:hyperlink r:id="rId7" w:history="1">
        <w:r w:rsidRPr="00230DE4">
          <w:rPr>
            <w:rStyle w:val="Hyperlink"/>
            <w:rFonts w:ascii="Calibri" w:hAnsi="Calibri" w:cs="Calibri"/>
            <w:i/>
          </w:rPr>
          <w:t>GL7-problematica-onpcsb@unbr.ro</w:t>
        </w:r>
      </w:hyperlink>
      <w:r w:rsidRPr="00230DE4">
        <w:rPr>
          <w:rFonts w:ascii="Calibri" w:hAnsi="Calibri" w:cs="Calibri"/>
          <w:i/>
        </w:rPr>
        <w:t xml:space="preserve"> și s-a mandatat Comisia Permanentă să aprobe eventualele modificări și completări, urmând ca decizia să fie supusă ratificării Consiliului UNBR; </w:t>
      </w:r>
    </w:p>
    <w:p w14:paraId="7837048C" w14:textId="09ADC41F" w:rsidR="005E2464" w:rsidRPr="00230DE4" w:rsidRDefault="0069338C" w:rsidP="005E2464">
      <w:pPr>
        <w:spacing w:line="276" w:lineRule="auto"/>
        <w:ind w:firstLine="567"/>
        <w:jc w:val="both"/>
        <w:rPr>
          <w:rFonts w:ascii="Calibri" w:hAnsi="Calibri" w:cs="Calibri"/>
          <w:i/>
        </w:rPr>
      </w:pPr>
      <w:r w:rsidRPr="00230DE4">
        <w:rPr>
          <w:rFonts w:ascii="Calibri" w:hAnsi="Calibri" w:cs="Calibri"/>
          <w:i/>
        </w:rPr>
        <w:t xml:space="preserve">Având în vedere faptul că propunerile de modificare/completare a Hotărârii Consiliului UNBR nr. 98/30.08.2024 au necesitat un timp suplimentar de analiză și, prin Deciziile Comisiei Permanente </w:t>
      </w:r>
      <w:bookmarkStart w:id="2" w:name="_Hlk185235976"/>
      <w:r w:rsidRPr="00230DE4">
        <w:rPr>
          <w:rFonts w:ascii="Calibri" w:hAnsi="Calibri" w:cs="Calibri"/>
          <w:i/>
        </w:rPr>
        <w:t xml:space="preserve">nr. 214/30 septembrie 2024, 217/09 octombrie 2024 și, respectiv, </w:t>
      </w:r>
      <w:bookmarkEnd w:id="2"/>
      <w:r w:rsidRPr="00230DE4">
        <w:rPr>
          <w:rFonts w:ascii="Calibri" w:hAnsi="Calibri" w:cs="Calibri"/>
          <w:i/>
        </w:rPr>
        <w:t>218/01-02 noiembrie 2024, s-a amânat intrarea în vigoare a normelor interne</w:t>
      </w:r>
      <w:r w:rsidRPr="00230DE4">
        <w:rPr>
          <w:rFonts w:ascii="Calibri" w:hAnsi="Calibri" w:cs="Calibri"/>
        </w:rPr>
        <w:t xml:space="preserve"> </w:t>
      </w:r>
      <w:r w:rsidRPr="00230DE4">
        <w:rPr>
          <w:rFonts w:ascii="Calibri" w:hAnsi="Calibri" w:cs="Calibri"/>
          <w:i/>
        </w:rPr>
        <w:t>ale UNBR date în aplicarea Legii nr. 129/2019, până la data de 10.10.2024, 04.11.2024 respectiv, 16.12.2024;</w:t>
      </w:r>
    </w:p>
    <w:p w14:paraId="35CE8850" w14:textId="77777777" w:rsidR="00007ED0" w:rsidRPr="00230DE4" w:rsidRDefault="00007ED0" w:rsidP="00007ED0">
      <w:pPr>
        <w:spacing w:line="276" w:lineRule="auto"/>
        <w:ind w:firstLine="567"/>
        <w:jc w:val="both"/>
        <w:rPr>
          <w:rFonts w:ascii="Calibri" w:hAnsi="Calibri" w:cs="Calibri"/>
          <w:i/>
        </w:rPr>
      </w:pPr>
      <w:r w:rsidRPr="00230DE4">
        <w:rPr>
          <w:rFonts w:ascii="Calibri" w:hAnsi="Calibri" w:cs="Calibri"/>
          <w:i/>
        </w:rPr>
        <w:t>Analizând propunerile de modificare/completare a Hotărârii Consiliului UNBR nr. 98/30.08.2024 venite de la avocați și constatând că este necesar ca normele interne să intre în vigoare odată cu un Ghid de aplicare a prevederilor legislației în domeniul prevenirii și combaterii spălării banilor și finanțării terorismului, care să conțină și modele orientative a unor documentații specifice pentru avocați;</w:t>
      </w:r>
    </w:p>
    <w:p w14:paraId="6ABF3757" w14:textId="77777777" w:rsidR="000848DB" w:rsidRPr="00230DE4" w:rsidRDefault="005E2464" w:rsidP="005E2464">
      <w:pPr>
        <w:spacing w:line="276" w:lineRule="auto"/>
        <w:ind w:firstLine="567"/>
        <w:jc w:val="both"/>
        <w:rPr>
          <w:rFonts w:ascii="Calibri" w:hAnsi="Calibri" w:cs="Calibri"/>
          <w:bCs/>
          <w:i/>
        </w:rPr>
      </w:pPr>
      <w:r w:rsidRPr="00230DE4">
        <w:rPr>
          <w:rFonts w:ascii="Calibri" w:hAnsi="Calibri" w:cs="Calibri"/>
          <w:i/>
        </w:rPr>
        <w:t>Văzând Hotărârea Consiliului UNBR nr. 109/13-14 decembrie 2024, prin care s-au ratificat Deciziile Comisiei Permanente a UNBR nr. 214/30 septembrie 2024, 217/09 octombrie 2024 și, respectiv, 218/01-02 noiembrie 2024 și s-a amânat, p</w:t>
      </w:r>
      <w:r w:rsidRPr="00230DE4">
        <w:rPr>
          <w:rFonts w:ascii="Calibri" w:hAnsi="Calibri" w:cs="Calibri"/>
          <w:bCs/>
          <w:i/>
        </w:rPr>
        <w:t>ână la data de 01.01.2025, intrarea în vigoare a normelor sectoriale ale UNBR date în aplicarea Legii nr. 129/2019</w:t>
      </w:r>
      <w:r w:rsidR="000848DB" w:rsidRPr="00230DE4">
        <w:rPr>
          <w:rFonts w:ascii="Calibri" w:hAnsi="Calibri" w:cs="Calibri"/>
          <w:bCs/>
          <w:i/>
        </w:rPr>
        <w:t>;</w:t>
      </w:r>
    </w:p>
    <w:p w14:paraId="3EFFAD82" w14:textId="5AA85D43" w:rsidR="005E2464" w:rsidRPr="00230DE4" w:rsidRDefault="000848DB" w:rsidP="005E2464">
      <w:pPr>
        <w:spacing w:line="276" w:lineRule="auto"/>
        <w:ind w:firstLine="567"/>
        <w:jc w:val="both"/>
        <w:rPr>
          <w:rFonts w:ascii="Calibri" w:hAnsi="Calibri" w:cs="Calibri"/>
          <w:bCs/>
          <w:i/>
        </w:rPr>
      </w:pPr>
      <w:r w:rsidRPr="00230DE4">
        <w:rPr>
          <w:rFonts w:ascii="Calibri" w:hAnsi="Calibri" w:cs="Calibri"/>
          <w:bCs/>
          <w:i/>
        </w:rPr>
        <w:t>Luând act de faptul că, prin aceeași hotărâre (109/13-14 decembrie 2</w:t>
      </w:r>
      <w:r w:rsidR="00094CEA" w:rsidRPr="00230DE4">
        <w:rPr>
          <w:rFonts w:ascii="Calibri" w:hAnsi="Calibri" w:cs="Calibri"/>
          <w:bCs/>
          <w:i/>
        </w:rPr>
        <w:t>0</w:t>
      </w:r>
      <w:r w:rsidRPr="00230DE4">
        <w:rPr>
          <w:rFonts w:ascii="Calibri" w:hAnsi="Calibri" w:cs="Calibri"/>
          <w:bCs/>
          <w:i/>
        </w:rPr>
        <w:t xml:space="preserve">24), </w:t>
      </w:r>
      <w:r w:rsidR="00554C8C" w:rsidRPr="00230DE4">
        <w:rPr>
          <w:rFonts w:ascii="Calibri" w:hAnsi="Calibri" w:cs="Calibri"/>
          <w:bCs/>
          <w:i/>
        </w:rPr>
        <w:t>C</w:t>
      </w:r>
      <w:r w:rsidRPr="00230DE4">
        <w:rPr>
          <w:rFonts w:ascii="Calibri" w:hAnsi="Calibri" w:cs="Calibri"/>
          <w:bCs/>
          <w:i/>
        </w:rPr>
        <w:t xml:space="preserve">onsiliul UNBR a mandatat </w:t>
      </w:r>
      <w:r w:rsidR="00007ED0" w:rsidRPr="00230DE4">
        <w:rPr>
          <w:rFonts w:ascii="Calibri" w:hAnsi="Calibri" w:cs="Calibri"/>
          <w:bCs/>
          <w:i/>
        </w:rPr>
        <w:t>Comisia Permanentă pentru aprobarea tuturor normelor incidente</w:t>
      </w:r>
      <w:r w:rsidR="005E2464" w:rsidRPr="00230DE4">
        <w:rPr>
          <w:rFonts w:ascii="Calibri" w:hAnsi="Calibri" w:cs="Calibri"/>
          <w:bCs/>
          <w:i/>
        </w:rPr>
        <w:t>;</w:t>
      </w:r>
    </w:p>
    <w:p w14:paraId="1D9DBE3A" w14:textId="7F0988C4" w:rsidR="00D52A87" w:rsidRPr="00230DE4" w:rsidRDefault="00D52A87" w:rsidP="005E2464">
      <w:pPr>
        <w:spacing w:line="276" w:lineRule="auto"/>
        <w:ind w:firstLine="567"/>
        <w:jc w:val="both"/>
        <w:rPr>
          <w:rFonts w:ascii="Calibri" w:hAnsi="Calibri" w:cs="Calibri"/>
          <w:i/>
        </w:rPr>
      </w:pPr>
      <w:r w:rsidRPr="00230DE4">
        <w:rPr>
          <w:rFonts w:ascii="Calibri" w:hAnsi="Calibri" w:cs="Calibri"/>
          <w:bCs/>
          <w:i/>
        </w:rPr>
        <w:lastRenderedPageBreak/>
        <w:t xml:space="preserve">Ținând cont de </w:t>
      </w:r>
      <w:r w:rsidRPr="00230DE4">
        <w:rPr>
          <w:rFonts w:ascii="Calibri" w:hAnsi="Calibri" w:cs="Calibri"/>
          <w:i/>
        </w:rPr>
        <w:t>Decizi</w:t>
      </w:r>
      <w:r w:rsidR="000848DB" w:rsidRPr="00230DE4">
        <w:rPr>
          <w:rFonts w:ascii="Calibri" w:hAnsi="Calibri" w:cs="Calibri"/>
          <w:i/>
        </w:rPr>
        <w:t>ile</w:t>
      </w:r>
      <w:r w:rsidRPr="00230DE4">
        <w:rPr>
          <w:rFonts w:ascii="Calibri" w:hAnsi="Calibri" w:cs="Calibri"/>
          <w:i/>
        </w:rPr>
        <w:t xml:space="preserve"> Comisiei Permanente nr. 255/31 decembrie 2024</w:t>
      </w:r>
      <w:r w:rsidR="000848DB" w:rsidRPr="00230DE4">
        <w:rPr>
          <w:rFonts w:ascii="Calibri" w:hAnsi="Calibri" w:cs="Calibri"/>
          <w:i/>
        </w:rPr>
        <w:t xml:space="preserve"> și 256/16 ianuarie 2025</w:t>
      </w:r>
      <w:r w:rsidRPr="00230DE4">
        <w:rPr>
          <w:rFonts w:ascii="Calibri" w:hAnsi="Calibri" w:cs="Calibri"/>
          <w:i/>
        </w:rPr>
        <w:t>,</w:t>
      </w:r>
    </w:p>
    <w:p w14:paraId="7B4EB2E8" w14:textId="77777777" w:rsidR="005E2464" w:rsidRPr="00230DE4" w:rsidRDefault="005E2464" w:rsidP="005E2464">
      <w:pPr>
        <w:spacing w:line="276" w:lineRule="auto"/>
        <w:ind w:firstLine="567"/>
        <w:jc w:val="both"/>
        <w:rPr>
          <w:rFonts w:ascii="Calibri" w:hAnsi="Calibri" w:cs="Calibri"/>
          <w:i/>
        </w:rPr>
      </w:pPr>
      <w:r w:rsidRPr="00230DE4">
        <w:rPr>
          <w:rFonts w:ascii="Calibri" w:hAnsi="Calibri" w:cs="Calibri"/>
          <w:i/>
        </w:rPr>
        <w:t>Analizând proiectul Regulamentului de organizare și funcționare a Registrului avocaților care desfășoară activități fiduciare și a Registrul avocaților care desfășoară servicii de stabilire temporară a sediului pentru societăți, prevăzute în art. 8 și 9 din Reglementarea sectorială a UNBR în aplicarea Legii nr. 129/2019;</w:t>
      </w:r>
    </w:p>
    <w:p w14:paraId="79A70498" w14:textId="42EFC9A7" w:rsidR="00BF385E" w:rsidRPr="00230DE4" w:rsidRDefault="00BF385E" w:rsidP="00FA2C9D">
      <w:pPr>
        <w:spacing w:line="276" w:lineRule="auto"/>
        <w:ind w:firstLine="567"/>
        <w:jc w:val="both"/>
        <w:rPr>
          <w:rFonts w:ascii="Calibri" w:hAnsi="Calibri" w:cs="Calibri"/>
          <w:i/>
        </w:rPr>
      </w:pPr>
      <w:r w:rsidRPr="00230DE4">
        <w:rPr>
          <w:rFonts w:ascii="Calibri" w:hAnsi="Calibri" w:cs="Calibri"/>
          <w:i/>
        </w:rPr>
        <w:t>Comisia Permanentă, în ședința</w:t>
      </w:r>
      <w:r w:rsidR="00F15C2B" w:rsidRPr="00230DE4">
        <w:rPr>
          <w:rFonts w:ascii="Calibri" w:hAnsi="Calibri" w:cs="Calibri"/>
          <w:i/>
        </w:rPr>
        <w:t xml:space="preserve"> </w:t>
      </w:r>
      <w:r w:rsidRPr="00230DE4">
        <w:rPr>
          <w:rFonts w:ascii="Calibri" w:hAnsi="Calibri" w:cs="Calibri"/>
          <w:i/>
        </w:rPr>
        <w:t xml:space="preserve">din data de </w:t>
      </w:r>
      <w:r w:rsidR="000848DB" w:rsidRPr="00230DE4">
        <w:rPr>
          <w:rFonts w:ascii="Calibri" w:hAnsi="Calibri" w:cs="Calibri"/>
          <w:b/>
          <w:bCs/>
          <w:i/>
        </w:rPr>
        <w:t>23</w:t>
      </w:r>
      <w:r w:rsidR="00D52A87" w:rsidRPr="00230DE4">
        <w:rPr>
          <w:rFonts w:ascii="Calibri" w:hAnsi="Calibri" w:cs="Calibri"/>
          <w:b/>
          <w:bCs/>
          <w:i/>
        </w:rPr>
        <w:t xml:space="preserve"> ianuarie 2025</w:t>
      </w:r>
      <w:r w:rsidRPr="00230DE4">
        <w:rPr>
          <w:rFonts w:ascii="Calibri" w:hAnsi="Calibri" w:cs="Calibri"/>
          <w:i/>
        </w:rPr>
        <w:t>,</w:t>
      </w:r>
    </w:p>
    <w:p w14:paraId="3F1F8BF8" w14:textId="77777777" w:rsidR="00FA2C9D" w:rsidRPr="00230DE4" w:rsidRDefault="00FA2C9D" w:rsidP="00AA281F">
      <w:pPr>
        <w:spacing w:line="276" w:lineRule="auto"/>
        <w:jc w:val="center"/>
        <w:rPr>
          <w:rFonts w:ascii="Calibri" w:hAnsi="Calibri" w:cs="Calibri"/>
          <w:i/>
          <w:sz w:val="28"/>
          <w:szCs w:val="28"/>
        </w:rPr>
      </w:pPr>
    </w:p>
    <w:p w14:paraId="117DB56F" w14:textId="77777777" w:rsidR="00BF385E" w:rsidRPr="00230DE4" w:rsidRDefault="00BF385E" w:rsidP="00AA281F">
      <w:pPr>
        <w:autoSpaceDE w:val="0"/>
        <w:autoSpaceDN w:val="0"/>
        <w:adjustRightInd w:val="0"/>
        <w:spacing w:line="276" w:lineRule="auto"/>
        <w:jc w:val="center"/>
        <w:rPr>
          <w:rFonts w:ascii="Calibri" w:hAnsi="Calibri" w:cs="Calibri"/>
          <w:b/>
          <w:bCs/>
          <w:sz w:val="28"/>
          <w:szCs w:val="28"/>
        </w:rPr>
      </w:pPr>
      <w:r w:rsidRPr="00230DE4">
        <w:rPr>
          <w:rFonts w:ascii="Calibri" w:hAnsi="Calibri" w:cs="Calibri"/>
          <w:b/>
          <w:bCs/>
          <w:sz w:val="28"/>
          <w:szCs w:val="28"/>
        </w:rPr>
        <w:t>D E C I D E :</w:t>
      </w:r>
    </w:p>
    <w:p w14:paraId="7639A79D" w14:textId="77777777" w:rsidR="00FA2C9D" w:rsidRPr="00230DE4" w:rsidRDefault="00FA2C9D" w:rsidP="00AA281F">
      <w:pPr>
        <w:spacing w:line="276" w:lineRule="auto"/>
        <w:jc w:val="center"/>
        <w:rPr>
          <w:rFonts w:ascii="Calibri" w:hAnsi="Calibri" w:cs="Calibri"/>
          <w:b/>
          <w:sz w:val="28"/>
          <w:szCs w:val="28"/>
        </w:rPr>
      </w:pPr>
    </w:p>
    <w:p w14:paraId="68BD645F" w14:textId="53043B39" w:rsidR="000848DB" w:rsidRPr="00230DE4" w:rsidRDefault="00BF385E" w:rsidP="000848DB">
      <w:pPr>
        <w:spacing w:line="276" w:lineRule="auto"/>
        <w:ind w:firstLine="720"/>
        <w:jc w:val="both"/>
        <w:rPr>
          <w:rFonts w:ascii="Calibri" w:hAnsi="Calibri" w:cs="Calibri"/>
          <w:bCs/>
        </w:rPr>
      </w:pPr>
      <w:r w:rsidRPr="00230DE4">
        <w:rPr>
          <w:rFonts w:ascii="Calibri" w:hAnsi="Calibri" w:cs="Calibri"/>
          <w:b/>
          <w:bCs/>
        </w:rPr>
        <w:t>Art. 1</w:t>
      </w:r>
      <w:r w:rsidRPr="00230DE4">
        <w:rPr>
          <w:rFonts w:ascii="Calibri" w:hAnsi="Calibri" w:cs="Calibri"/>
          <w:bCs/>
        </w:rPr>
        <w:t xml:space="preserve"> </w:t>
      </w:r>
      <w:r w:rsidRPr="00230DE4">
        <w:rPr>
          <w:rFonts w:ascii="Calibri" w:hAnsi="Calibri" w:cs="Calibri"/>
          <w:b/>
          <w:bCs/>
        </w:rPr>
        <w:t xml:space="preserve">– </w:t>
      </w:r>
      <w:r w:rsidR="00F355BF" w:rsidRPr="00230DE4">
        <w:rPr>
          <w:rFonts w:ascii="Calibri" w:hAnsi="Calibri" w:cs="Calibri"/>
          <w:b/>
          <w:bCs/>
        </w:rPr>
        <w:t xml:space="preserve">(1) </w:t>
      </w:r>
      <w:r w:rsidR="000848DB" w:rsidRPr="00230DE4">
        <w:rPr>
          <w:rFonts w:ascii="Calibri" w:hAnsi="Calibri" w:cs="Calibri"/>
          <w:bCs/>
        </w:rPr>
        <w:t>Se aprobă normele interne ale Uniunii Naționale a Barourilor din România prevăzute în anexele nr. 1 și 2 ale prezentei decizii:</w:t>
      </w:r>
    </w:p>
    <w:p w14:paraId="2461B5D6" w14:textId="77777777" w:rsidR="000848DB" w:rsidRPr="00230DE4" w:rsidRDefault="000848DB" w:rsidP="000848DB">
      <w:pPr>
        <w:spacing w:line="276" w:lineRule="auto"/>
        <w:jc w:val="both"/>
        <w:rPr>
          <w:rFonts w:ascii="Calibri" w:hAnsi="Calibri" w:cs="Calibri"/>
          <w:bCs/>
        </w:rPr>
      </w:pPr>
      <w:r w:rsidRPr="00230DE4">
        <w:rPr>
          <w:rFonts w:ascii="Calibri" w:hAnsi="Calibri" w:cs="Calibri"/>
          <w:bCs/>
        </w:rPr>
        <w:t xml:space="preserve">  </w:t>
      </w:r>
      <w:r w:rsidRPr="00230DE4">
        <w:rPr>
          <w:rFonts w:ascii="Calibri" w:hAnsi="Calibri" w:cs="Calibri"/>
          <w:b/>
        </w:rPr>
        <w:t>1.</w:t>
      </w:r>
      <w:r w:rsidRPr="00230DE4">
        <w:rPr>
          <w:rFonts w:ascii="Calibri" w:hAnsi="Calibri" w:cs="Calibri"/>
          <w:bCs/>
        </w:rPr>
        <w:t xml:space="preserve"> </w:t>
      </w:r>
      <w:r w:rsidRPr="00230DE4">
        <w:rPr>
          <w:rFonts w:ascii="Calibri" w:hAnsi="Calibri" w:cs="Calibri"/>
          <w:b/>
          <w:i/>
          <w:iCs/>
        </w:rPr>
        <w:t>Reglementarea sectorială în aplicarea Legii nr. 129/2019 pentru prevenirea și combaterea spălării banilor și finanțării terorismului</w:t>
      </w:r>
      <w:r w:rsidRPr="00230DE4">
        <w:rPr>
          <w:rFonts w:ascii="Calibri" w:hAnsi="Calibri" w:cs="Calibri"/>
          <w:bCs/>
        </w:rPr>
        <w:t>, prevăzută în Anexa nr. 1;</w:t>
      </w:r>
    </w:p>
    <w:p w14:paraId="53899235" w14:textId="77777777" w:rsidR="000848DB" w:rsidRPr="00230DE4" w:rsidRDefault="000848DB" w:rsidP="000848DB">
      <w:pPr>
        <w:spacing w:line="276" w:lineRule="auto"/>
        <w:jc w:val="both"/>
        <w:rPr>
          <w:rFonts w:ascii="Calibri" w:hAnsi="Calibri" w:cs="Calibri"/>
          <w:bCs/>
        </w:rPr>
      </w:pPr>
      <w:r w:rsidRPr="00230DE4">
        <w:rPr>
          <w:rFonts w:ascii="Calibri" w:hAnsi="Calibri" w:cs="Calibri"/>
          <w:bCs/>
        </w:rPr>
        <w:t xml:space="preserve">    </w:t>
      </w:r>
      <w:r w:rsidRPr="00230DE4">
        <w:rPr>
          <w:rFonts w:ascii="Calibri" w:hAnsi="Calibri" w:cs="Calibri"/>
          <w:b/>
        </w:rPr>
        <w:t>2.</w:t>
      </w:r>
      <w:r w:rsidRPr="00230DE4">
        <w:rPr>
          <w:rFonts w:ascii="Calibri" w:hAnsi="Calibri" w:cs="Calibri"/>
          <w:bCs/>
        </w:rPr>
        <w:t xml:space="preserve"> </w:t>
      </w:r>
      <w:r w:rsidRPr="00230DE4">
        <w:rPr>
          <w:rFonts w:ascii="Calibri" w:hAnsi="Calibri" w:cs="Calibri"/>
          <w:b/>
          <w:i/>
          <w:iCs/>
        </w:rPr>
        <w:t>Procedura de control a organismului de autoreglementare U.N.B.R. în aplicarea Legii nr. 129/2019 pentru prevenirea și combaterea spălării banilor și finanțării terorismului</w:t>
      </w:r>
      <w:r w:rsidRPr="00230DE4">
        <w:rPr>
          <w:rFonts w:ascii="Calibri" w:hAnsi="Calibri" w:cs="Calibri"/>
          <w:bCs/>
        </w:rPr>
        <w:t>, prevăzută în Anexa nr. 2.</w:t>
      </w:r>
    </w:p>
    <w:p w14:paraId="36521421" w14:textId="460150C9" w:rsidR="00EA05CC" w:rsidRPr="00230DE4" w:rsidRDefault="00EA05CC" w:rsidP="00EA05CC">
      <w:pPr>
        <w:spacing w:line="276" w:lineRule="auto"/>
        <w:ind w:firstLine="567"/>
        <w:jc w:val="both"/>
        <w:rPr>
          <w:rFonts w:ascii="Calibri" w:hAnsi="Calibri" w:cs="Calibri"/>
          <w:bCs/>
        </w:rPr>
      </w:pPr>
      <w:r w:rsidRPr="00230DE4">
        <w:rPr>
          <w:rFonts w:ascii="Calibri" w:hAnsi="Calibri" w:cs="Calibri"/>
          <w:b/>
        </w:rPr>
        <w:t>(2)</w:t>
      </w:r>
      <w:r w:rsidRPr="00230DE4">
        <w:rPr>
          <w:rFonts w:ascii="Calibri" w:hAnsi="Calibri" w:cs="Calibri"/>
          <w:bCs/>
        </w:rPr>
        <w:t xml:space="preserve"> Normele interne prevăzute la alineatul precedent intră în vigoare la data de </w:t>
      </w:r>
      <w:r w:rsidRPr="00230DE4">
        <w:rPr>
          <w:rFonts w:ascii="Calibri" w:hAnsi="Calibri" w:cs="Calibri"/>
          <w:b/>
          <w:i/>
          <w:iCs/>
        </w:rPr>
        <w:t>0</w:t>
      </w:r>
      <w:r w:rsidR="00A43412" w:rsidRPr="00230DE4">
        <w:rPr>
          <w:rFonts w:ascii="Calibri" w:hAnsi="Calibri" w:cs="Calibri"/>
          <w:b/>
          <w:i/>
          <w:iCs/>
        </w:rPr>
        <w:t>3</w:t>
      </w:r>
      <w:r w:rsidRPr="00230DE4">
        <w:rPr>
          <w:rFonts w:ascii="Calibri" w:hAnsi="Calibri" w:cs="Calibri"/>
          <w:b/>
          <w:i/>
          <w:iCs/>
        </w:rPr>
        <w:t xml:space="preserve"> </w:t>
      </w:r>
      <w:r w:rsidR="00494CC7" w:rsidRPr="00230DE4">
        <w:rPr>
          <w:rFonts w:ascii="Calibri" w:hAnsi="Calibri" w:cs="Calibri"/>
          <w:b/>
          <w:i/>
          <w:iCs/>
        </w:rPr>
        <w:t>martie 2025</w:t>
      </w:r>
      <w:r w:rsidRPr="00230DE4">
        <w:rPr>
          <w:rFonts w:ascii="Calibri" w:hAnsi="Calibri" w:cs="Calibri"/>
          <w:bCs/>
        </w:rPr>
        <w:t>.</w:t>
      </w:r>
    </w:p>
    <w:p w14:paraId="614190E7" w14:textId="2ADE39BB" w:rsidR="00FA2C9D" w:rsidRPr="00230DE4" w:rsidRDefault="00FA2C9D" w:rsidP="00FA2C9D">
      <w:pPr>
        <w:spacing w:line="276" w:lineRule="auto"/>
        <w:ind w:firstLine="567"/>
        <w:jc w:val="both"/>
        <w:rPr>
          <w:rFonts w:ascii="Calibri" w:hAnsi="Calibri" w:cs="Calibri"/>
          <w:b/>
          <w:bCs/>
        </w:rPr>
      </w:pPr>
    </w:p>
    <w:p w14:paraId="2B4D8AAB" w14:textId="77777777" w:rsidR="00BF385E" w:rsidRPr="00230DE4" w:rsidRDefault="00BF385E" w:rsidP="00FA2C9D">
      <w:pPr>
        <w:spacing w:line="276" w:lineRule="auto"/>
        <w:ind w:firstLine="720"/>
        <w:jc w:val="both"/>
        <w:rPr>
          <w:rFonts w:ascii="Calibri" w:hAnsi="Calibri" w:cs="Calibri"/>
        </w:rPr>
      </w:pPr>
      <w:r w:rsidRPr="00230DE4">
        <w:rPr>
          <w:rFonts w:ascii="Calibri" w:hAnsi="Calibri" w:cs="Calibri"/>
          <w:b/>
          <w:bCs/>
        </w:rPr>
        <w:t xml:space="preserve">Art. 2 – (1) </w:t>
      </w:r>
      <w:r w:rsidRPr="00230DE4">
        <w:rPr>
          <w:rFonts w:ascii="Calibri" w:hAnsi="Calibri" w:cs="Calibri"/>
        </w:rPr>
        <w:t>Decizia Comisiei Permanente va fi supusă ratificării Consiliului UNBR.</w:t>
      </w:r>
    </w:p>
    <w:p w14:paraId="58CD9B82" w14:textId="77777777" w:rsidR="00BF385E" w:rsidRPr="00230DE4" w:rsidRDefault="00BF385E" w:rsidP="00FA2C9D">
      <w:pPr>
        <w:spacing w:line="276" w:lineRule="auto"/>
        <w:ind w:firstLine="720"/>
        <w:jc w:val="both"/>
        <w:rPr>
          <w:rFonts w:ascii="Calibri" w:hAnsi="Calibri" w:cs="Calibri"/>
          <w:bCs/>
        </w:rPr>
      </w:pPr>
      <w:r w:rsidRPr="00230DE4">
        <w:rPr>
          <w:rFonts w:ascii="Calibri" w:hAnsi="Calibri" w:cs="Calibri"/>
          <w:b/>
          <w:bCs/>
        </w:rPr>
        <w:t xml:space="preserve">(2) </w:t>
      </w:r>
      <w:r w:rsidRPr="00230DE4">
        <w:rPr>
          <w:rFonts w:ascii="Calibri" w:hAnsi="Calibri" w:cs="Calibri"/>
        </w:rPr>
        <w:t xml:space="preserve">Prezenta hotărâre se comunică membrilor Consiliului UNBR și Barourilor </w:t>
      </w:r>
      <w:r w:rsidRPr="00230DE4">
        <w:rPr>
          <w:rFonts w:ascii="Calibri" w:hAnsi="Calibri" w:cs="Calibri"/>
          <w:bCs/>
        </w:rPr>
        <w:t>și se afișează pe website-</w:t>
      </w:r>
      <w:proofErr w:type="spellStart"/>
      <w:r w:rsidRPr="00230DE4">
        <w:rPr>
          <w:rFonts w:ascii="Calibri" w:hAnsi="Calibri" w:cs="Calibri"/>
          <w:bCs/>
        </w:rPr>
        <w:t>ul</w:t>
      </w:r>
      <w:proofErr w:type="spellEnd"/>
      <w:r w:rsidRPr="00230DE4">
        <w:rPr>
          <w:rFonts w:ascii="Calibri" w:hAnsi="Calibri" w:cs="Calibri"/>
          <w:bCs/>
        </w:rPr>
        <w:t xml:space="preserve"> </w:t>
      </w:r>
      <w:hyperlink r:id="rId8" w:history="1">
        <w:r w:rsidRPr="00230DE4">
          <w:rPr>
            <w:rStyle w:val="Hyperlink"/>
            <w:rFonts w:ascii="Calibri" w:hAnsi="Calibri" w:cs="Calibri"/>
            <w:bCs/>
          </w:rPr>
          <w:t>www.unbr.ro</w:t>
        </w:r>
      </w:hyperlink>
      <w:r w:rsidRPr="00230DE4">
        <w:rPr>
          <w:rFonts w:ascii="Calibri" w:hAnsi="Calibri" w:cs="Calibri"/>
          <w:bCs/>
        </w:rPr>
        <w:t xml:space="preserve"> .</w:t>
      </w:r>
    </w:p>
    <w:p w14:paraId="3EF8C5F2" w14:textId="08B6B899" w:rsidR="00494CC7" w:rsidRPr="00230DE4" w:rsidRDefault="00494CC7" w:rsidP="00FA2C9D">
      <w:pPr>
        <w:spacing w:line="276" w:lineRule="auto"/>
        <w:ind w:firstLine="720"/>
        <w:jc w:val="both"/>
        <w:rPr>
          <w:rFonts w:ascii="Calibri" w:hAnsi="Calibri" w:cs="Calibri"/>
          <w:bCs/>
        </w:rPr>
      </w:pPr>
      <w:r w:rsidRPr="00230DE4">
        <w:rPr>
          <w:rFonts w:ascii="Calibri" w:hAnsi="Calibri" w:cs="Calibri"/>
          <w:b/>
        </w:rPr>
        <w:t>(3)</w:t>
      </w:r>
      <w:r w:rsidRPr="00230DE4">
        <w:rPr>
          <w:rFonts w:ascii="Calibri" w:hAnsi="Calibri" w:cs="Calibri"/>
          <w:bCs/>
        </w:rPr>
        <w:t xml:space="preserve"> Barourile vor aduce la cunoștința avocaților prezentele norme prin toate mijloacele de diseminare existente.</w:t>
      </w:r>
    </w:p>
    <w:p w14:paraId="795C044D" w14:textId="77777777" w:rsidR="007839C5" w:rsidRPr="00230DE4" w:rsidRDefault="007839C5" w:rsidP="00FA2C9D">
      <w:pPr>
        <w:spacing w:line="276" w:lineRule="auto"/>
        <w:jc w:val="both"/>
        <w:rPr>
          <w:rFonts w:ascii="Calibri" w:hAnsi="Calibri" w:cs="Calibri"/>
          <w:bCs/>
        </w:rPr>
      </w:pPr>
    </w:p>
    <w:p w14:paraId="1F3D209A" w14:textId="77777777" w:rsidR="000578D0" w:rsidRPr="00230DE4" w:rsidRDefault="000578D0" w:rsidP="00FA2C9D">
      <w:pPr>
        <w:spacing w:line="276" w:lineRule="auto"/>
        <w:jc w:val="both"/>
        <w:rPr>
          <w:rFonts w:ascii="Calibri" w:hAnsi="Calibri" w:cs="Calibri"/>
          <w:bCs/>
        </w:rPr>
      </w:pPr>
    </w:p>
    <w:p w14:paraId="40CE006F" w14:textId="77777777" w:rsidR="00AA281F" w:rsidRPr="00230DE4" w:rsidRDefault="00AA281F" w:rsidP="00FA2C9D">
      <w:pPr>
        <w:spacing w:line="276" w:lineRule="auto"/>
        <w:jc w:val="both"/>
        <w:rPr>
          <w:rFonts w:ascii="Calibri" w:hAnsi="Calibri" w:cs="Calibri"/>
          <w:bCs/>
        </w:rPr>
      </w:pPr>
    </w:p>
    <w:p w14:paraId="4E5B1CA8" w14:textId="77777777" w:rsidR="009B58A2" w:rsidRPr="00230DE4" w:rsidRDefault="009B58A2" w:rsidP="00FA2C9D">
      <w:pPr>
        <w:spacing w:line="276" w:lineRule="auto"/>
        <w:jc w:val="both"/>
        <w:rPr>
          <w:rFonts w:ascii="Calibri" w:hAnsi="Calibri" w:cs="Calibri"/>
          <w:bCs/>
          <w:sz w:val="32"/>
          <w:szCs w:val="32"/>
        </w:rPr>
      </w:pPr>
    </w:p>
    <w:p w14:paraId="1D66F8B2" w14:textId="02F4869B" w:rsidR="000578D0" w:rsidRPr="00230DE4" w:rsidRDefault="000578D0" w:rsidP="00FA2C9D">
      <w:pPr>
        <w:spacing w:line="276" w:lineRule="auto"/>
        <w:jc w:val="center"/>
        <w:rPr>
          <w:rFonts w:ascii="Calibri" w:hAnsi="Calibri" w:cs="Calibri"/>
          <w:b/>
          <w:bCs/>
          <w:iCs/>
          <w:sz w:val="32"/>
          <w:szCs w:val="32"/>
        </w:rPr>
      </w:pPr>
      <w:r w:rsidRPr="00230DE4">
        <w:rPr>
          <w:rFonts w:ascii="Calibri" w:hAnsi="Calibri" w:cs="Calibri"/>
          <w:b/>
          <w:bCs/>
          <w:iCs/>
          <w:sz w:val="32"/>
          <w:szCs w:val="32"/>
        </w:rPr>
        <w:t>C O M I S I A     P E R M A N E N T Ă</w:t>
      </w:r>
    </w:p>
    <w:p w14:paraId="73F5B282" w14:textId="77777777" w:rsidR="00494CC7" w:rsidRPr="00230DE4" w:rsidRDefault="00494CC7" w:rsidP="00FA2C9D">
      <w:pPr>
        <w:spacing w:line="276" w:lineRule="auto"/>
        <w:jc w:val="center"/>
        <w:rPr>
          <w:rFonts w:ascii="Calibri" w:hAnsi="Calibri" w:cs="Calibri"/>
          <w:b/>
          <w:bCs/>
          <w:iCs/>
          <w:sz w:val="32"/>
          <w:szCs w:val="32"/>
        </w:rPr>
      </w:pPr>
    </w:p>
    <w:p w14:paraId="0522EE6F" w14:textId="77777777" w:rsidR="00494CC7" w:rsidRPr="00230DE4" w:rsidRDefault="00494CC7" w:rsidP="00FA2C9D">
      <w:pPr>
        <w:spacing w:line="276" w:lineRule="auto"/>
        <w:jc w:val="center"/>
        <w:rPr>
          <w:rFonts w:ascii="Calibri" w:hAnsi="Calibri" w:cs="Calibri"/>
          <w:b/>
          <w:bCs/>
          <w:iCs/>
          <w:sz w:val="32"/>
          <w:szCs w:val="32"/>
        </w:rPr>
      </w:pPr>
    </w:p>
    <w:p w14:paraId="3596D1FF" w14:textId="77777777" w:rsidR="00494CC7" w:rsidRPr="00230DE4" w:rsidRDefault="00494CC7" w:rsidP="00FA2C9D">
      <w:pPr>
        <w:spacing w:line="276" w:lineRule="auto"/>
        <w:jc w:val="center"/>
        <w:rPr>
          <w:rFonts w:ascii="Calibri" w:hAnsi="Calibri" w:cs="Calibri"/>
          <w:b/>
          <w:bCs/>
          <w:iCs/>
          <w:sz w:val="32"/>
          <w:szCs w:val="32"/>
        </w:rPr>
      </w:pPr>
    </w:p>
    <w:p w14:paraId="6A6172E6" w14:textId="77777777" w:rsidR="00494CC7" w:rsidRPr="00230DE4" w:rsidRDefault="00494CC7" w:rsidP="00FA2C9D">
      <w:pPr>
        <w:spacing w:line="276" w:lineRule="auto"/>
        <w:jc w:val="center"/>
        <w:rPr>
          <w:rFonts w:ascii="Calibri" w:hAnsi="Calibri" w:cs="Calibri"/>
          <w:b/>
          <w:bCs/>
          <w:iCs/>
          <w:sz w:val="32"/>
          <w:szCs w:val="32"/>
        </w:rPr>
      </w:pPr>
    </w:p>
    <w:p w14:paraId="5FF8E23F" w14:textId="77777777" w:rsidR="00494CC7" w:rsidRPr="00230DE4" w:rsidRDefault="00494CC7">
      <w:pPr>
        <w:rPr>
          <w:rFonts w:ascii="Calibri" w:hAnsi="Calibri" w:cs="Calibri"/>
          <w:b/>
          <w:bCs/>
          <w:iCs/>
          <w:sz w:val="32"/>
          <w:szCs w:val="32"/>
        </w:rPr>
      </w:pPr>
      <w:r w:rsidRPr="00230DE4">
        <w:rPr>
          <w:rFonts w:ascii="Calibri" w:hAnsi="Calibri" w:cs="Calibri"/>
          <w:b/>
          <w:bCs/>
          <w:iCs/>
          <w:sz w:val="32"/>
          <w:szCs w:val="32"/>
        </w:rPr>
        <w:br w:type="page"/>
      </w:r>
    </w:p>
    <w:p w14:paraId="1965EA9B" w14:textId="77777777" w:rsidR="00031F7A" w:rsidRPr="00230DE4" w:rsidRDefault="00031F7A" w:rsidP="00494CC7">
      <w:pPr>
        <w:spacing w:line="276" w:lineRule="auto"/>
        <w:jc w:val="right"/>
        <w:rPr>
          <w:rFonts w:ascii="Calibri" w:hAnsi="Calibri" w:cs="Calibri"/>
          <w:b/>
          <w:bCs/>
          <w:iCs/>
          <w:sz w:val="32"/>
          <w:szCs w:val="32"/>
        </w:rPr>
        <w:sectPr w:rsidR="00031F7A" w:rsidRPr="00230DE4" w:rsidSect="00256FBC">
          <w:footerReference w:type="even" r:id="rId9"/>
          <w:footerReference w:type="default" r:id="rId10"/>
          <w:pgSz w:w="11909" w:h="16834" w:code="9"/>
          <w:pgMar w:top="1276" w:right="1277" w:bottom="360" w:left="1560" w:header="706" w:footer="539" w:gutter="0"/>
          <w:cols w:space="708"/>
          <w:docGrid w:linePitch="360"/>
        </w:sectPr>
      </w:pPr>
    </w:p>
    <w:p w14:paraId="0829D5EB" w14:textId="695794EB" w:rsidR="00494CC7" w:rsidRPr="00230DE4" w:rsidRDefault="00494CC7" w:rsidP="00494CC7">
      <w:pPr>
        <w:spacing w:line="276" w:lineRule="auto"/>
        <w:jc w:val="right"/>
        <w:rPr>
          <w:rFonts w:ascii="Calibri" w:hAnsi="Calibri" w:cs="Calibri"/>
          <w:b/>
          <w:bCs/>
          <w:iCs/>
          <w:sz w:val="32"/>
          <w:szCs w:val="32"/>
        </w:rPr>
      </w:pPr>
      <w:r w:rsidRPr="00230DE4">
        <w:rPr>
          <w:rFonts w:ascii="Calibri" w:hAnsi="Calibri" w:cs="Calibri"/>
          <w:b/>
          <w:bCs/>
          <w:iCs/>
          <w:sz w:val="32"/>
          <w:szCs w:val="32"/>
        </w:rPr>
        <w:lastRenderedPageBreak/>
        <w:t>Anexa nr. 1 la Decizia Comisiei Permanente nr. 260/23 ianuarie 2025</w:t>
      </w:r>
    </w:p>
    <w:p w14:paraId="2BAACCC9" w14:textId="77777777" w:rsidR="00494CC7" w:rsidRPr="00230DE4" w:rsidRDefault="00494CC7" w:rsidP="00494CC7">
      <w:pPr>
        <w:spacing w:line="276" w:lineRule="auto"/>
        <w:jc w:val="right"/>
        <w:rPr>
          <w:rFonts w:ascii="Calibri" w:hAnsi="Calibri" w:cs="Calibri"/>
          <w:b/>
          <w:bCs/>
          <w:iCs/>
          <w:sz w:val="28"/>
          <w:szCs w:val="28"/>
        </w:rPr>
      </w:pPr>
    </w:p>
    <w:p w14:paraId="41958AF5" w14:textId="77777777" w:rsidR="00C248F8" w:rsidRPr="00230DE4" w:rsidRDefault="00494CC7" w:rsidP="00494CC7">
      <w:pPr>
        <w:pStyle w:val="Corp"/>
        <w:spacing w:line="276" w:lineRule="auto"/>
        <w:jc w:val="center"/>
        <w:rPr>
          <w:rFonts w:ascii="Calibri" w:hAnsi="Calibri" w:cs="Calibri"/>
          <w:b/>
          <w:bCs/>
          <w:color w:val="auto"/>
          <w:sz w:val="28"/>
          <w:szCs w:val="28"/>
        </w:rPr>
      </w:pPr>
      <w:r w:rsidRPr="00230DE4">
        <w:rPr>
          <w:rFonts w:ascii="Calibri" w:hAnsi="Calibri" w:cs="Calibri"/>
          <w:b/>
          <w:bCs/>
          <w:color w:val="auto"/>
          <w:sz w:val="28"/>
          <w:szCs w:val="28"/>
        </w:rPr>
        <w:t xml:space="preserve">Reglementare sectorială în aplicarea Legii nr. 129/2019 </w:t>
      </w:r>
    </w:p>
    <w:p w14:paraId="7B6539DE" w14:textId="11A9FE82" w:rsidR="00494CC7" w:rsidRPr="00230DE4" w:rsidRDefault="00494CC7" w:rsidP="00494CC7">
      <w:pPr>
        <w:pStyle w:val="Corp"/>
        <w:spacing w:line="276" w:lineRule="auto"/>
        <w:jc w:val="center"/>
        <w:rPr>
          <w:rFonts w:ascii="Calibri" w:eastAsia="Times New Roman" w:hAnsi="Calibri" w:cs="Calibri"/>
          <w:b/>
          <w:bCs/>
          <w:color w:val="auto"/>
          <w:sz w:val="28"/>
          <w:szCs w:val="28"/>
        </w:rPr>
      </w:pPr>
      <w:r w:rsidRPr="00230DE4">
        <w:rPr>
          <w:rFonts w:ascii="Calibri" w:hAnsi="Calibri" w:cs="Calibri"/>
          <w:b/>
          <w:bCs/>
          <w:color w:val="auto"/>
          <w:sz w:val="28"/>
          <w:szCs w:val="28"/>
        </w:rPr>
        <w:t>pentru prevenirea și combaterea spălării banilor și finanțării terorismului</w:t>
      </w:r>
    </w:p>
    <w:p w14:paraId="7569E910" w14:textId="77777777" w:rsidR="00494CC7" w:rsidRPr="00230DE4" w:rsidRDefault="00494CC7" w:rsidP="00494CC7">
      <w:pPr>
        <w:pStyle w:val="Corp"/>
        <w:spacing w:line="276" w:lineRule="auto"/>
        <w:jc w:val="both"/>
        <w:rPr>
          <w:rFonts w:ascii="Calibri" w:eastAsia="Times New Roman" w:hAnsi="Calibri" w:cs="Calibri"/>
          <w:b/>
          <w:bCs/>
          <w:color w:val="auto"/>
          <w:sz w:val="28"/>
          <w:szCs w:val="28"/>
        </w:rPr>
      </w:pPr>
    </w:p>
    <w:p w14:paraId="7B1F0EE8" w14:textId="77777777" w:rsidR="00494CC7" w:rsidRPr="00230DE4" w:rsidRDefault="00494CC7" w:rsidP="00494CC7">
      <w:pPr>
        <w:pStyle w:val="Corp"/>
        <w:spacing w:line="276" w:lineRule="auto"/>
        <w:ind w:firstLine="720"/>
        <w:jc w:val="both"/>
        <w:rPr>
          <w:rFonts w:ascii="Calibri" w:eastAsia="Times New Roman" w:hAnsi="Calibri" w:cs="Calibri"/>
          <w:b/>
          <w:bCs/>
          <w:color w:val="auto"/>
        </w:rPr>
      </w:pPr>
      <w:r w:rsidRPr="00230DE4">
        <w:rPr>
          <w:rFonts w:ascii="Calibri" w:hAnsi="Calibri" w:cs="Calibri"/>
          <w:b/>
          <w:bCs/>
          <w:color w:val="auto"/>
        </w:rPr>
        <w:t>Preambul:</w:t>
      </w:r>
    </w:p>
    <w:p w14:paraId="718BE379"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 xml:space="preserve">Prezenta reglementare denumită în continuare „norme sectoriale” este adoptată în conformitate cu art. 2 lit. n) și art. 59 alin. (1) din Legea nr. 129/2019 coroborat cu art. 3 lit. d) și art. 4 alin. (2) lit. d) din Ordinul Președintelui O.N.P.C.S.B. nr. 37/2021, cu respectarea principiului păstrării secretului profesional al avocatului prevăzut de Legea nr. 51/1995 pentru organizarea și exercitarea profesiei de avocat, republicată și Statutul profesiei de avocat, în raport de </w:t>
      </w:r>
      <w:proofErr w:type="spellStart"/>
      <w:r w:rsidRPr="00230DE4">
        <w:rPr>
          <w:rFonts w:ascii="Calibri" w:hAnsi="Calibri" w:cs="Calibri"/>
          <w:color w:val="auto"/>
        </w:rPr>
        <w:t>parag</w:t>
      </w:r>
      <w:proofErr w:type="spellEnd"/>
      <w:r w:rsidRPr="00230DE4">
        <w:rPr>
          <w:rFonts w:ascii="Calibri" w:hAnsi="Calibri" w:cs="Calibri"/>
          <w:color w:val="auto"/>
        </w:rPr>
        <w:t xml:space="preserve">. 9 și art. 34 alin. (2) din Directiva </w:t>
      </w:r>
      <w:r w:rsidRPr="00230DE4">
        <w:rPr>
          <w:rFonts w:ascii="Calibri" w:hAnsi="Calibri" w:cs="Calibri"/>
          <w:color w:val="auto"/>
          <w:bdr w:val="none" w:sz="0" w:space="0" w:color="auto" w:frame="1"/>
        </w:rPr>
        <w:t>(UE) 2015/849 a Parlamentului European și a Consiliului, art. 9 alin. (3) și (4) și art. 33 alin. (5) din Legea nr. 129/2019.</w:t>
      </w:r>
    </w:p>
    <w:p w14:paraId="1EA28947"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Scopul reglementării sectoriale constă în adaptarea dispozițiilor din Legea nr. 129/2019, denumită în continuare „Lege”, din Ordinul Președintelui O.N.P.C.S.B. nr. 37/2021, din O.U.G. nr. 202/2008 aprobată prin Legea nr. 217/2009 privind punerea în aplicare a sancțiunilor internaționale și din H.G. nr. 603/2011 la specificul și principiile profesiei de avocat.</w:t>
      </w:r>
    </w:p>
    <w:p w14:paraId="5C79270F" w14:textId="77777777" w:rsidR="00494CC7" w:rsidRPr="00230DE4" w:rsidRDefault="00494CC7" w:rsidP="00494CC7">
      <w:pPr>
        <w:pStyle w:val="Corp"/>
        <w:spacing w:line="276" w:lineRule="auto"/>
        <w:ind w:firstLine="720"/>
        <w:jc w:val="both"/>
        <w:rPr>
          <w:rFonts w:ascii="Calibri" w:hAnsi="Calibri" w:cs="Calibri"/>
          <w:color w:val="auto"/>
        </w:rPr>
      </w:pPr>
    </w:p>
    <w:p w14:paraId="2EDC421E" w14:textId="77777777" w:rsidR="00494CC7" w:rsidRPr="00230DE4" w:rsidRDefault="00494CC7" w:rsidP="00494CC7">
      <w:pPr>
        <w:pStyle w:val="Corp"/>
        <w:spacing w:line="276" w:lineRule="auto"/>
        <w:ind w:firstLine="720"/>
        <w:jc w:val="both"/>
        <w:rPr>
          <w:rFonts w:ascii="Calibri" w:hAnsi="Calibri" w:cs="Calibri"/>
          <w:b/>
          <w:bCs/>
          <w:color w:val="auto"/>
        </w:rPr>
      </w:pPr>
      <w:r w:rsidRPr="00230DE4">
        <w:rPr>
          <w:rFonts w:ascii="Calibri" w:hAnsi="Calibri" w:cs="Calibri"/>
          <w:b/>
          <w:bCs/>
          <w:color w:val="auto"/>
        </w:rPr>
        <w:t>Capitolul I</w:t>
      </w:r>
      <w:r w:rsidRPr="00230DE4">
        <w:rPr>
          <w:rFonts w:ascii="Calibri" w:hAnsi="Calibri" w:cs="Calibri"/>
          <w:color w:val="auto"/>
        </w:rPr>
        <w:t xml:space="preserve">. </w:t>
      </w:r>
      <w:r w:rsidRPr="00230DE4">
        <w:rPr>
          <w:rFonts w:ascii="Calibri" w:hAnsi="Calibri" w:cs="Calibri"/>
          <w:b/>
          <w:bCs/>
          <w:color w:val="auto"/>
        </w:rPr>
        <w:t>Avocat – subiect al Legii nr. 129/2019.</w:t>
      </w:r>
    </w:p>
    <w:p w14:paraId="52E1404E" w14:textId="77777777" w:rsidR="00494CC7" w:rsidRPr="00230DE4" w:rsidRDefault="00494CC7" w:rsidP="00494CC7">
      <w:pPr>
        <w:pStyle w:val="Corp"/>
        <w:spacing w:line="276" w:lineRule="auto"/>
        <w:ind w:firstLine="720"/>
        <w:jc w:val="both"/>
        <w:rPr>
          <w:rFonts w:ascii="Calibri" w:hAnsi="Calibri" w:cs="Calibri"/>
          <w:color w:val="auto"/>
        </w:rPr>
      </w:pPr>
      <w:commentRangeStart w:id="3"/>
      <w:r w:rsidRPr="00230DE4">
        <w:rPr>
          <w:rFonts w:ascii="Calibri" w:hAnsi="Calibri" w:cs="Calibri"/>
          <w:b/>
          <w:bCs/>
          <w:color w:val="auto"/>
        </w:rPr>
        <w:t xml:space="preserve">Art. 1. </w:t>
      </w:r>
      <w:r w:rsidRPr="00230DE4">
        <w:rPr>
          <w:rFonts w:ascii="Calibri" w:hAnsi="Calibri" w:cs="Calibri"/>
          <w:color w:val="auto"/>
        </w:rPr>
        <w:t>Avocatul este subiect al Legii atunci când acordă asistență juridică pentru:</w:t>
      </w:r>
      <w:commentRangeEnd w:id="3"/>
      <w:r w:rsidRPr="00230DE4">
        <w:rPr>
          <w:rStyle w:val="CommentReference"/>
          <w:rFonts w:ascii="Calibri" w:hAnsi="Calibri" w:cs="Calibri"/>
          <w:color w:val="auto"/>
        </w:rPr>
        <w:commentReference w:id="3"/>
      </w:r>
    </w:p>
    <w:p w14:paraId="266CCE26"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a) întocmirea sau perfectarea de operațiuni pentru clienții lor privind cumpărarea ori vânzarea de bunuri imobile, acțiuni sau părți sociale ori elemente alte fondului de comerț;</w:t>
      </w:r>
    </w:p>
    <w:p w14:paraId="372D4B2B"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b) administrarea instrumentelor financiare, valorilor mobiliare sau a altor bunuri ale clienților;</w:t>
      </w:r>
    </w:p>
    <w:p w14:paraId="5FA96F69"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c) operațiuni sau tranzacții care implică o sumă de bani sau un transfer de proprietate;</w:t>
      </w:r>
    </w:p>
    <w:p w14:paraId="0223F13B"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d) constituirea sau administrarea de conturi bancare, de economii ori de instrumente financiare;</w:t>
      </w:r>
    </w:p>
    <w:p w14:paraId="37EA0EFE"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e) organizarea procesului de subscriere a aporturilor necesare constituirii, funcționării sau administrării unei societăți;</w:t>
      </w:r>
    </w:p>
    <w:p w14:paraId="294E06B6"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f) constituirea, administrarea ori conducerea unor societăți, organisme de plasament colectiv în valori mobiliare sau a altor structuri similare;</w:t>
      </w:r>
    </w:p>
    <w:p w14:paraId="316435D5"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g) crearea, funcționarea sau administrarea de fiducii, societăți, fundații sau structuri similare.</w:t>
      </w:r>
    </w:p>
    <w:p w14:paraId="6C71EB51" w14:textId="77777777" w:rsidR="00494CC7" w:rsidRPr="00230DE4" w:rsidRDefault="00494CC7" w:rsidP="00494CC7">
      <w:pPr>
        <w:pStyle w:val="Corp"/>
        <w:spacing w:line="276" w:lineRule="auto"/>
        <w:ind w:firstLine="720"/>
        <w:jc w:val="both"/>
        <w:rPr>
          <w:rFonts w:ascii="Calibri" w:hAnsi="Calibri" w:cs="Calibri"/>
          <w:color w:val="auto"/>
        </w:rPr>
      </w:pPr>
      <w:commentRangeStart w:id="4"/>
      <w:r w:rsidRPr="00230DE4">
        <w:rPr>
          <w:rFonts w:ascii="Calibri" w:hAnsi="Calibri" w:cs="Calibri"/>
          <w:b/>
          <w:bCs/>
          <w:color w:val="auto"/>
        </w:rPr>
        <w:t xml:space="preserve">Art. 2. </w:t>
      </w:r>
      <w:r w:rsidRPr="00230DE4">
        <w:rPr>
          <w:rFonts w:ascii="Calibri" w:hAnsi="Calibri" w:cs="Calibri"/>
          <w:color w:val="auto"/>
        </w:rPr>
        <w:t>Avocatul este subiect al Legii atunci când participă în numele sau pentru clientul lui în orice operațiune cu caracter financiar ori vizând bunuri imobile.</w:t>
      </w:r>
      <w:commentRangeEnd w:id="4"/>
      <w:r w:rsidRPr="00230DE4">
        <w:rPr>
          <w:rStyle w:val="CommentReference"/>
          <w:rFonts w:ascii="Calibri" w:hAnsi="Calibri" w:cs="Calibri"/>
          <w:color w:val="auto"/>
        </w:rPr>
        <w:commentReference w:id="4"/>
      </w:r>
    </w:p>
    <w:p w14:paraId="695D7271"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b/>
          <w:bCs/>
          <w:color w:val="auto"/>
        </w:rPr>
        <w:t xml:space="preserve">Art. 3. </w:t>
      </w:r>
      <w:r w:rsidRPr="00230DE4">
        <w:rPr>
          <w:rFonts w:ascii="Calibri" w:hAnsi="Calibri" w:cs="Calibri"/>
          <w:color w:val="auto"/>
        </w:rPr>
        <w:t>Avocatul nu este subiect al Legii atunci când acordă asistență pentru realizarea unor activități distincte de cele menționate la art. 1 și art. 2.</w:t>
      </w:r>
    </w:p>
    <w:p w14:paraId="40FC482B" w14:textId="77777777" w:rsidR="00494CC7" w:rsidRPr="00230DE4" w:rsidRDefault="00494CC7" w:rsidP="00494CC7">
      <w:pPr>
        <w:pStyle w:val="Corp"/>
        <w:spacing w:line="276" w:lineRule="auto"/>
        <w:ind w:firstLine="720"/>
        <w:jc w:val="both"/>
        <w:rPr>
          <w:rFonts w:ascii="Calibri" w:hAnsi="Calibri" w:cs="Calibri"/>
          <w:color w:val="auto"/>
        </w:rPr>
      </w:pPr>
      <w:commentRangeStart w:id="5"/>
      <w:r w:rsidRPr="00230DE4">
        <w:rPr>
          <w:rFonts w:ascii="Calibri" w:hAnsi="Calibri" w:cs="Calibri"/>
          <w:b/>
          <w:bCs/>
          <w:color w:val="auto"/>
        </w:rPr>
        <w:lastRenderedPageBreak/>
        <w:t xml:space="preserve">Art. 4. </w:t>
      </w:r>
      <w:r w:rsidRPr="00230DE4">
        <w:rPr>
          <w:rFonts w:ascii="Calibri" w:hAnsi="Calibri" w:cs="Calibri"/>
          <w:color w:val="auto"/>
        </w:rPr>
        <w:t>Avocatul nu este subiect al Legii atunci când evaluează situația juridică a clientului în cadrul unor proceduri judiciare sau în cazul îndeplinirii obligației de apărare și/sau de reprezentare a clientului în proceduri judiciare sau în legătură cu aceste proceduri, inclusiv în situația în care acordă consultanță juridică privind inițierea, evitarea ori finalizarea unor proceduri judiciare.</w:t>
      </w:r>
      <w:commentRangeEnd w:id="5"/>
      <w:r w:rsidRPr="00230DE4">
        <w:rPr>
          <w:rStyle w:val="CommentReference"/>
          <w:rFonts w:ascii="Calibri" w:hAnsi="Calibri" w:cs="Calibri"/>
          <w:color w:val="auto"/>
        </w:rPr>
        <w:commentReference w:id="5"/>
      </w:r>
    </w:p>
    <w:p w14:paraId="296981C6"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b/>
          <w:bCs/>
          <w:color w:val="auto"/>
        </w:rPr>
        <w:t xml:space="preserve">Art. 5. </w:t>
      </w:r>
      <w:r w:rsidRPr="00230DE4">
        <w:rPr>
          <w:rFonts w:ascii="Calibri" w:hAnsi="Calibri" w:cs="Calibri"/>
          <w:color w:val="auto"/>
        </w:rPr>
        <w:t>Avocatul colaborator cu drept de clientelă proprie este subiect al Legii numai în raport de activitatea profesională realizată pentru clientul propriu.</w:t>
      </w:r>
    </w:p>
    <w:p w14:paraId="4FA44ED6" w14:textId="1D65EA56" w:rsidR="00494CC7" w:rsidRPr="00230DE4" w:rsidRDefault="00494CC7" w:rsidP="00494CC7">
      <w:pPr>
        <w:pStyle w:val="Corp"/>
        <w:spacing w:line="276" w:lineRule="auto"/>
        <w:ind w:firstLine="720"/>
        <w:jc w:val="both"/>
        <w:rPr>
          <w:rFonts w:ascii="Calibri" w:hAnsi="Calibri" w:cs="Calibri"/>
          <w:color w:val="auto"/>
        </w:rPr>
      </w:pPr>
      <w:commentRangeStart w:id="6"/>
      <w:r w:rsidRPr="00230DE4">
        <w:rPr>
          <w:rFonts w:ascii="Calibri" w:hAnsi="Calibri" w:cs="Calibri"/>
          <w:b/>
          <w:bCs/>
          <w:color w:val="auto"/>
        </w:rPr>
        <w:t xml:space="preserve">Art. 6. </w:t>
      </w:r>
      <w:r w:rsidRPr="00230DE4">
        <w:rPr>
          <w:rFonts w:ascii="Calibri" w:hAnsi="Calibri" w:cs="Calibri"/>
          <w:color w:val="auto"/>
        </w:rPr>
        <w:t xml:space="preserve">Avocatul colaborator care nu are drept la clientelă proprie sau avocatul salarizat în interiorul profesiei nu este subiect al Legii, situație în care </w:t>
      </w:r>
      <w:r w:rsidR="00665B68" w:rsidRPr="00230DE4">
        <w:rPr>
          <w:rFonts w:ascii="Calibri" w:hAnsi="Calibri" w:cs="Calibri"/>
          <w:color w:val="auto"/>
        </w:rPr>
        <w:t>obligațiile</w:t>
      </w:r>
      <w:r w:rsidRPr="00230DE4">
        <w:rPr>
          <w:rFonts w:ascii="Calibri" w:hAnsi="Calibri" w:cs="Calibri"/>
          <w:color w:val="auto"/>
        </w:rPr>
        <w:t xml:space="preserve"> prevăzute de Lege și normele sectoriale revin în sarcina avocatului titular sau, după caz, avocatului coordonator al formei de exercitare a profesiei de avocat.</w:t>
      </w:r>
      <w:commentRangeEnd w:id="6"/>
      <w:r w:rsidRPr="00230DE4">
        <w:rPr>
          <w:rStyle w:val="CommentReference"/>
          <w:rFonts w:ascii="Calibri" w:hAnsi="Calibri" w:cs="Calibri"/>
          <w:color w:val="auto"/>
        </w:rPr>
        <w:commentReference w:id="6"/>
      </w:r>
    </w:p>
    <w:p w14:paraId="6D7153A3"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b/>
          <w:bCs/>
          <w:color w:val="auto"/>
        </w:rPr>
        <w:t xml:space="preserve">Art. 7. </w:t>
      </w:r>
      <w:r w:rsidRPr="00230DE4">
        <w:rPr>
          <w:rFonts w:ascii="Calibri" w:hAnsi="Calibri" w:cs="Calibri"/>
          <w:color w:val="auto"/>
        </w:rPr>
        <w:t>Nerespectarea de către avocatul care este subiect al Legii a normelor sectoriale constituie abatere disciplinară și se sancționează potrivit Statului profesiei de avocat.</w:t>
      </w:r>
    </w:p>
    <w:p w14:paraId="2FA283A2" w14:textId="77777777" w:rsidR="00494CC7" w:rsidRPr="00230DE4" w:rsidRDefault="00494CC7" w:rsidP="00494CC7">
      <w:pPr>
        <w:pStyle w:val="Corp"/>
        <w:spacing w:line="276" w:lineRule="auto"/>
        <w:jc w:val="both"/>
        <w:rPr>
          <w:rFonts w:ascii="Calibri" w:hAnsi="Calibri" w:cs="Calibri"/>
          <w:color w:val="auto"/>
        </w:rPr>
      </w:pPr>
    </w:p>
    <w:p w14:paraId="08A0BB97" w14:textId="77777777" w:rsidR="00494CC7" w:rsidRPr="00230DE4" w:rsidRDefault="00494CC7" w:rsidP="00494CC7">
      <w:pPr>
        <w:pStyle w:val="Corp"/>
        <w:spacing w:line="276" w:lineRule="auto"/>
        <w:jc w:val="both"/>
        <w:rPr>
          <w:rFonts w:ascii="Calibri" w:hAnsi="Calibri" w:cs="Calibri"/>
          <w:b/>
          <w:bCs/>
          <w:color w:val="auto"/>
        </w:rPr>
      </w:pPr>
      <w:r w:rsidRPr="00230DE4">
        <w:rPr>
          <w:rFonts w:ascii="Calibri" w:hAnsi="Calibri" w:cs="Calibri"/>
          <w:color w:val="auto"/>
        </w:rPr>
        <w:tab/>
      </w:r>
      <w:commentRangeStart w:id="7"/>
      <w:r w:rsidRPr="00230DE4">
        <w:rPr>
          <w:rFonts w:ascii="Calibri" w:hAnsi="Calibri" w:cs="Calibri"/>
          <w:b/>
          <w:bCs/>
          <w:color w:val="auto"/>
        </w:rPr>
        <w:t>Capitolul II. Registre speciale.</w:t>
      </w:r>
      <w:commentRangeEnd w:id="7"/>
      <w:r w:rsidRPr="00230DE4">
        <w:rPr>
          <w:rStyle w:val="CommentReference"/>
          <w:rFonts w:ascii="Calibri" w:hAnsi="Calibri" w:cs="Calibri"/>
          <w:color w:val="auto"/>
        </w:rPr>
        <w:commentReference w:id="7"/>
      </w:r>
    </w:p>
    <w:p w14:paraId="19494C40"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b/>
          <w:bCs/>
          <w:color w:val="auto"/>
        </w:rPr>
        <w:tab/>
        <w:t>Art. 8. Registrul avocaților care desfășoară activități fiduciare.</w:t>
      </w:r>
    </w:p>
    <w:p w14:paraId="2BFEF62A"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t>Avocatul care desfășoară activități fiduciare în condițiile Codului Civil, ale Legii nr. 51/1995 pentru organizarea și exercitarea profesiei de avocat, republicată și ale Statutului profesiei de avocat este obligat să se înregistreze în Registrul avocaților care desfășoară activități fiduciare, în conformitate cu procedura prevăzută în Regulamentul de organizare și funcționare a registrului, aprobat de Consiliul U.N.B.R.</w:t>
      </w:r>
    </w:p>
    <w:p w14:paraId="6F366499" w14:textId="77777777" w:rsidR="00494CC7" w:rsidRPr="00230DE4" w:rsidRDefault="00494CC7" w:rsidP="00494CC7">
      <w:pPr>
        <w:pStyle w:val="Corp"/>
        <w:spacing w:line="276" w:lineRule="auto"/>
        <w:jc w:val="both"/>
        <w:rPr>
          <w:rFonts w:ascii="Calibri" w:hAnsi="Calibri" w:cs="Calibri"/>
          <w:b/>
          <w:bCs/>
          <w:color w:val="auto"/>
        </w:rPr>
      </w:pPr>
      <w:r w:rsidRPr="00230DE4">
        <w:rPr>
          <w:rFonts w:ascii="Calibri" w:hAnsi="Calibri" w:cs="Calibri"/>
          <w:color w:val="auto"/>
        </w:rPr>
        <w:tab/>
      </w:r>
      <w:r w:rsidRPr="00230DE4">
        <w:rPr>
          <w:rFonts w:ascii="Calibri" w:hAnsi="Calibri" w:cs="Calibri"/>
          <w:b/>
          <w:bCs/>
          <w:color w:val="auto"/>
        </w:rPr>
        <w:t>Art. 9. Registrul avocaților care desfășoară servicii de stabilire temporară a sediului pentru societăți.</w:t>
      </w:r>
    </w:p>
    <w:p w14:paraId="14BE3C64" w14:textId="2A1F69C4"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b/>
          <w:bCs/>
          <w:color w:val="auto"/>
        </w:rPr>
        <w:tab/>
      </w:r>
      <w:r w:rsidRPr="00230DE4">
        <w:rPr>
          <w:rFonts w:ascii="Calibri" w:hAnsi="Calibri" w:cs="Calibri"/>
          <w:color w:val="auto"/>
        </w:rPr>
        <w:t xml:space="preserve">Avocatul care desfășoară servicii de stabilire temporară a sediului pentru societăți la sediul profesional al avocatului în condițiile Legii nr. 51/1995 pentru organizarea și exercitarea profesiei de avocat, republicată și ale Statutului profesiei de avocat, a căror frecvență </w:t>
      </w:r>
      <w:r w:rsidR="00665B68" w:rsidRPr="00230DE4">
        <w:rPr>
          <w:rFonts w:ascii="Calibri" w:hAnsi="Calibri" w:cs="Calibri"/>
          <w:color w:val="auto"/>
        </w:rPr>
        <w:t>depășește</w:t>
      </w:r>
      <w:r w:rsidRPr="00230DE4">
        <w:rPr>
          <w:rFonts w:ascii="Calibri" w:hAnsi="Calibri" w:cs="Calibri"/>
          <w:color w:val="auto"/>
        </w:rPr>
        <w:t xml:space="preserve"> 5 (cinci) activități de stabilire a sediului calculate în decursul unui an indiferent dacă există sau nu identitate de beneficiar real, este obligat să se înregistreze în Registrul avocaților care desfășoară activități de stabilire temporară a sediului pentru societăți, în conformitate cu procedura prevăzută în Regulamentul de organizare și funcționare a registrului, aprobat de Consiliul U.N.B.R.</w:t>
      </w:r>
    </w:p>
    <w:p w14:paraId="611F9713" w14:textId="77777777" w:rsidR="00494CC7" w:rsidRPr="00230DE4" w:rsidRDefault="00494CC7" w:rsidP="00494CC7">
      <w:pPr>
        <w:pStyle w:val="Corp"/>
        <w:spacing w:line="276" w:lineRule="auto"/>
        <w:jc w:val="both"/>
        <w:rPr>
          <w:rFonts w:ascii="Calibri" w:hAnsi="Calibri" w:cs="Calibri"/>
          <w:b/>
          <w:bCs/>
          <w:color w:val="auto"/>
        </w:rPr>
      </w:pPr>
    </w:p>
    <w:p w14:paraId="13F3B070" w14:textId="77777777" w:rsidR="00494CC7" w:rsidRPr="00230DE4" w:rsidRDefault="00494CC7" w:rsidP="00494CC7">
      <w:pPr>
        <w:pStyle w:val="Corp"/>
        <w:spacing w:line="276" w:lineRule="auto"/>
        <w:jc w:val="both"/>
        <w:rPr>
          <w:rFonts w:ascii="Calibri" w:hAnsi="Calibri" w:cs="Calibri"/>
          <w:b/>
          <w:bCs/>
          <w:color w:val="auto"/>
        </w:rPr>
      </w:pPr>
      <w:r w:rsidRPr="00230DE4">
        <w:rPr>
          <w:rFonts w:ascii="Calibri" w:hAnsi="Calibri" w:cs="Calibri"/>
          <w:b/>
          <w:bCs/>
          <w:color w:val="auto"/>
        </w:rPr>
        <w:tab/>
        <w:t>Capitolul III. Prevenirea și combaterea spălării banilor și a finanțării terorismului.</w:t>
      </w:r>
    </w:p>
    <w:p w14:paraId="06C467D2"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b/>
          <w:bCs/>
          <w:color w:val="auto"/>
        </w:rPr>
        <w:tab/>
        <w:t>Art. 10. Măsuri de prevenție.</w:t>
      </w:r>
    </w:p>
    <w:p w14:paraId="37CFA06E"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(1)</w:t>
      </w:r>
      <w:r w:rsidRPr="00230DE4">
        <w:rPr>
          <w:rFonts w:ascii="Calibri" w:hAnsi="Calibri" w:cs="Calibri"/>
          <w:b/>
          <w:bCs/>
          <w:color w:val="auto"/>
        </w:rPr>
        <w:t xml:space="preserve"> </w:t>
      </w:r>
      <w:r w:rsidRPr="00230DE4">
        <w:rPr>
          <w:rFonts w:ascii="Calibri" w:hAnsi="Calibri" w:cs="Calibri"/>
          <w:color w:val="auto"/>
        </w:rPr>
        <w:t xml:space="preserve">În scopul prevenirii spălării banilor și a finanțării terorismului avocatul aplică cu ocazia încheierii contractului de asistență juridică procedurile prevăzute de art. 24 alin. (1) – (5) și (7) Lege, inclusiv cele privind: </w:t>
      </w:r>
    </w:p>
    <w:p w14:paraId="334A7E31"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r>
      <w:commentRangeStart w:id="8"/>
      <w:r w:rsidRPr="00230DE4">
        <w:rPr>
          <w:rFonts w:ascii="Calibri" w:hAnsi="Calibri" w:cs="Calibri"/>
          <w:color w:val="auto"/>
        </w:rPr>
        <w:t>a) evaluarea riscurilor serviciilor solicitate de către client;</w:t>
      </w:r>
      <w:commentRangeEnd w:id="8"/>
      <w:r w:rsidRPr="00230DE4">
        <w:rPr>
          <w:rStyle w:val="CommentReference"/>
          <w:rFonts w:ascii="Calibri" w:hAnsi="Calibri" w:cs="Calibri"/>
          <w:color w:val="auto"/>
        </w:rPr>
        <w:commentReference w:id="8"/>
      </w:r>
    </w:p>
    <w:p w14:paraId="4BD7FCA9"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r>
      <w:commentRangeStart w:id="9"/>
      <w:r w:rsidRPr="00230DE4">
        <w:rPr>
          <w:rFonts w:ascii="Calibri" w:hAnsi="Calibri" w:cs="Calibri"/>
          <w:color w:val="auto"/>
        </w:rPr>
        <w:t>b) evaluarea riscurilor activității desfășurate de către avocat;</w:t>
      </w:r>
      <w:commentRangeEnd w:id="9"/>
      <w:r w:rsidRPr="00230DE4">
        <w:rPr>
          <w:rStyle w:val="CommentReference"/>
          <w:rFonts w:ascii="Calibri" w:hAnsi="Calibri" w:cs="Calibri"/>
          <w:color w:val="auto"/>
        </w:rPr>
        <w:commentReference w:id="9"/>
      </w:r>
    </w:p>
    <w:p w14:paraId="3804B796"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lastRenderedPageBreak/>
        <w:tab/>
        <w:t>c</w:t>
      </w:r>
      <w:commentRangeStart w:id="10"/>
      <w:r w:rsidRPr="00230DE4">
        <w:rPr>
          <w:rFonts w:ascii="Calibri" w:hAnsi="Calibri" w:cs="Calibri"/>
          <w:color w:val="auto"/>
        </w:rPr>
        <w:t>) măsuri aplicabile în materie de cunoaștere a clientului;</w:t>
      </w:r>
      <w:commentRangeEnd w:id="10"/>
      <w:r w:rsidRPr="00230DE4">
        <w:rPr>
          <w:rStyle w:val="CommentReference"/>
          <w:rFonts w:ascii="Calibri" w:hAnsi="Calibri" w:cs="Calibri"/>
          <w:color w:val="auto"/>
        </w:rPr>
        <w:commentReference w:id="10"/>
      </w:r>
    </w:p>
    <w:p w14:paraId="2803C751"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t>d</w:t>
      </w:r>
      <w:commentRangeStart w:id="11"/>
      <w:r w:rsidRPr="00230DE4">
        <w:rPr>
          <w:rFonts w:ascii="Calibri" w:hAnsi="Calibri" w:cs="Calibri"/>
          <w:color w:val="auto"/>
        </w:rPr>
        <w:t>) identificarea beneficiarului real;</w:t>
      </w:r>
      <w:commentRangeEnd w:id="11"/>
      <w:r w:rsidRPr="00230DE4">
        <w:rPr>
          <w:rStyle w:val="CommentReference"/>
          <w:rFonts w:ascii="Calibri" w:hAnsi="Calibri" w:cs="Calibri"/>
          <w:color w:val="auto"/>
        </w:rPr>
        <w:commentReference w:id="11"/>
      </w:r>
    </w:p>
    <w:p w14:paraId="34022F64"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t>e</w:t>
      </w:r>
      <w:commentRangeStart w:id="12"/>
      <w:r w:rsidRPr="00230DE4">
        <w:rPr>
          <w:rFonts w:ascii="Calibri" w:hAnsi="Calibri" w:cs="Calibri"/>
          <w:color w:val="auto"/>
        </w:rPr>
        <w:t>) păstrarea evidenței procedurilor aplicate, măsurilor luate și a documentelor justificative;</w:t>
      </w:r>
      <w:commentRangeEnd w:id="12"/>
      <w:r w:rsidRPr="00230DE4">
        <w:rPr>
          <w:rStyle w:val="CommentReference"/>
          <w:rFonts w:ascii="Calibri" w:hAnsi="Calibri" w:cs="Calibri"/>
          <w:color w:val="auto"/>
        </w:rPr>
        <w:commentReference w:id="12"/>
      </w:r>
    </w:p>
    <w:p w14:paraId="52E0D54F"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r>
      <w:commentRangeStart w:id="13"/>
      <w:r w:rsidRPr="00230DE4">
        <w:rPr>
          <w:rFonts w:ascii="Calibri" w:hAnsi="Calibri" w:cs="Calibri"/>
          <w:color w:val="auto"/>
        </w:rPr>
        <w:t xml:space="preserve">f) stabilirea politicilor și a normelor interne, a mecanismelor de control intern și a procedurilor de administrare a riscurilor de spălare a banilor și de finanțare a terorismului, inclusiv modalitatea de punere în aplicare a sancțiunilor internaționale, corespunzător naturii și volumului activității desfășurate de către avocat. </w:t>
      </w:r>
      <w:commentRangeEnd w:id="13"/>
      <w:r w:rsidRPr="00230DE4">
        <w:rPr>
          <w:rStyle w:val="CommentReference"/>
          <w:rFonts w:ascii="Calibri" w:hAnsi="Calibri" w:cs="Calibri"/>
          <w:color w:val="auto"/>
        </w:rPr>
        <w:commentReference w:id="13"/>
      </w:r>
    </w:p>
    <w:p w14:paraId="16642A91"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r>
      <w:commentRangeStart w:id="14"/>
      <w:r w:rsidRPr="00230DE4">
        <w:rPr>
          <w:rFonts w:ascii="Calibri" w:hAnsi="Calibri" w:cs="Calibri"/>
          <w:color w:val="auto"/>
        </w:rPr>
        <w:t>(2) Avocatul actualizează periodic măsurile de cunoaștere a clientului până la încetarea contractului de asistență juridică. Perioada de actualizare se stabilește de către avocat în funcție de rezultatul procedurii de evaluare a riscurilor și care nu poate fi mai mare de doi ani de zile de la data ultimei actualizări.</w:t>
      </w:r>
      <w:commentRangeEnd w:id="14"/>
      <w:r w:rsidRPr="00230DE4">
        <w:rPr>
          <w:rStyle w:val="CommentReference"/>
          <w:rFonts w:ascii="Calibri" w:hAnsi="Calibri" w:cs="Calibri"/>
          <w:color w:val="auto"/>
        </w:rPr>
        <w:commentReference w:id="14"/>
      </w:r>
    </w:p>
    <w:p w14:paraId="1BC1C19D" w14:textId="77777777" w:rsidR="00494CC7" w:rsidRPr="00230DE4" w:rsidRDefault="00494CC7" w:rsidP="00494CC7">
      <w:pPr>
        <w:pStyle w:val="Corp"/>
        <w:spacing w:line="276" w:lineRule="auto"/>
        <w:jc w:val="both"/>
        <w:rPr>
          <w:rFonts w:ascii="Calibri" w:hAnsi="Calibri" w:cs="Calibri"/>
          <w:color w:val="auto"/>
        </w:rPr>
      </w:pPr>
      <w:r w:rsidRPr="00230DE4">
        <w:rPr>
          <w:rFonts w:ascii="Calibri" w:hAnsi="Calibri" w:cs="Calibri"/>
          <w:color w:val="auto"/>
        </w:rPr>
        <w:tab/>
      </w:r>
      <w:commentRangeStart w:id="15"/>
      <w:r w:rsidRPr="00230DE4">
        <w:rPr>
          <w:rFonts w:ascii="Calibri" w:hAnsi="Calibri" w:cs="Calibri"/>
          <w:color w:val="auto"/>
        </w:rPr>
        <w:t>(3) Procedurile de prevenire a spălării banilor și a finanțării terorismului se aplică și clienților pentru care sunt încheiate contracte de asistentă juridică la momentul intrării în vigoare a normelor sectoriale.</w:t>
      </w:r>
      <w:commentRangeEnd w:id="15"/>
      <w:r w:rsidRPr="00230DE4">
        <w:rPr>
          <w:rStyle w:val="CommentReference"/>
          <w:rFonts w:ascii="Calibri" w:hAnsi="Calibri" w:cs="Calibri"/>
          <w:color w:val="auto"/>
        </w:rPr>
        <w:commentReference w:id="15"/>
      </w:r>
    </w:p>
    <w:p w14:paraId="732D5BB4" w14:textId="77777777" w:rsidR="00494CC7" w:rsidRPr="00230DE4" w:rsidRDefault="00494CC7" w:rsidP="00494CC7">
      <w:pPr>
        <w:pStyle w:val="Corp"/>
        <w:spacing w:line="276" w:lineRule="auto"/>
        <w:ind w:firstLine="720"/>
        <w:jc w:val="both"/>
        <w:rPr>
          <w:rFonts w:ascii="Calibri" w:hAnsi="Calibri" w:cs="Calibri"/>
          <w:color w:val="auto"/>
        </w:rPr>
      </w:pPr>
      <w:commentRangeStart w:id="16"/>
      <w:r w:rsidRPr="00230DE4">
        <w:rPr>
          <w:rFonts w:ascii="Calibri" w:hAnsi="Calibri" w:cs="Calibri"/>
          <w:color w:val="auto"/>
        </w:rPr>
        <w:t xml:space="preserve">(4) În cadrul procedurii de evaluare a riscului de spălare de bani și de finanțare a terorismului, fără a se restrânge situațiile aplicabile prevăzute la art. 17 alin. (14) din Lege, constituie factori de risc cu potențial mărit ce presupun aplicarea măsurilor suplimentare de cunoaștere a clientelei: serviciile fiduciare și serviciile de stabilire temporară a sediului pentru societăți la sediul profesional al avocatului a căror frecvență depășește două activități de stabilire a sediului pentru societăți între care există, în tot sau în parte, o identitate de beneficiar real. </w:t>
      </w:r>
      <w:commentRangeEnd w:id="16"/>
      <w:r w:rsidRPr="00230DE4">
        <w:rPr>
          <w:rStyle w:val="CommentReference"/>
          <w:rFonts w:ascii="Calibri" w:hAnsi="Calibri" w:cs="Calibri"/>
          <w:color w:val="auto"/>
        </w:rPr>
        <w:commentReference w:id="16"/>
      </w:r>
    </w:p>
    <w:p w14:paraId="2E240705" w14:textId="77777777" w:rsidR="00494CC7" w:rsidRPr="00230DE4" w:rsidRDefault="00494CC7" w:rsidP="00494CC7">
      <w:pPr>
        <w:pStyle w:val="Corp"/>
        <w:spacing w:line="276" w:lineRule="auto"/>
        <w:ind w:firstLine="720"/>
        <w:jc w:val="both"/>
        <w:rPr>
          <w:rFonts w:ascii="Calibri" w:hAnsi="Calibri" w:cs="Calibri"/>
          <w:color w:val="auto"/>
        </w:rPr>
      </w:pPr>
      <w:commentRangeStart w:id="17"/>
      <w:r w:rsidRPr="00230DE4">
        <w:rPr>
          <w:rFonts w:ascii="Calibri" w:hAnsi="Calibri" w:cs="Calibri"/>
          <w:color w:val="auto"/>
        </w:rPr>
        <w:t>(5) În aplicarea procedurii de evaluare a riscurilor și de cunoaștere a clientelei avocatul va consulta listele informative aflate pe pagina de internet a O.N.P.C.S.B. și pe pagina de internet a U.N.B.R. la secțiunea dedicată raporturilor cu O.N.P.C.S.B. referitoare la jurisdicții necooperante din punct de vedere fiscal, jurisdicții cu grad înalt de risc de spălare a banilor și/sau de finanțare a terorismului și jurisdicții aflate sub monitorizarea organismelor internaționale relevante, pentru risc de spălare a banilor / finanțare a terorismului.</w:t>
      </w:r>
      <w:commentRangeEnd w:id="17"/>
      <w:r w:rsidRPr="00230DE4">
        <w:rPr>
          <w:rStyle w:val="CommentReference"/>
          <w:rFonts w:ascii="Calibri" w:hAnsi="Calibri" w:cs="Calibri"/>
          <w:color w:val="auto"/>
        </w:rPr>
        <w:commentReference w:id="17"/>
      </w:r>
    </w:p>
    <w:p w14:paraId="372E23C2" w14:textId="77777777" w:rsidR="00494CC7" w:rsidRPr="00230DE4" w:rsidRDefault="00494CC7" w:rsidP="00494CC7">
      <w:pPr>
        <w:pStyle w:val="Corp"/>
        <w:spacing w:line="276" w:lineRule="auto"/>
        <w:ind w:firstLine="720"/>
        <w:jc w:val="both"/>
        <w:rPr>
          <w:rFonts w:ascii="Calibri" w:hAnsi="Calibri" w:cs="Calibri"/>
          <w:color w:val="auto"/>
        </w:rPr>
      </w:pPr>
      <w:commentRangeStart w:id="18"/>
      <w:r w:rsidRPr="00230DE4">
        <w:rPr>
          <w:rFonts w:ascii="Calibri" w:hAnsi="Calibri" w:cs="Calibri"/>
          <w:color w:val="auto"/>
        </w:rPr>
        <w:t>(6) În aplicarea procedurii de evaluare a riscurilor și de cunoaștere a clientelei avocatul va consulta listele informative aflate pe pagina de internet a O.N.P.C.S.B. și pe pagina de internet a U.N.B.R. la secțiunea dedicată raporturilor cu O.N.P.C.S.B. cu privire la sancțiunile internaționale.</w:t>
      </w:r>
      <w:commentRangeEnd w:id="18"/>
      <w:r w:rsidRPr="00230DE4">
        <w:rPr>
          <w:rStyle w:val="CommentReference"/>
          <w:rFonts w:ascii="Calibri" w:hAnsi="Calibri" w:cs="Calibri"/>
          <w:color w:val="auto"/>
        </w:rPr>
        <w:commentReference w:id="18"/>
      </w:r>
    </w:p>
    <w:p w14:paraId="001E9442" w14:textId="77777777" w:rsidR="00494CC7" w:rsidRPr="00230DE4" w:rsidRDefault="00494CC7" w:rsidP="00494CC7">
      <w:pPr>
        <w:pStyle w:val="Corp"/>
        <w:spacing w:line="276" w:lineRule="auto"/>
        <w:ind w:firstLine="720"/>
        <w:jc w:val="both"/>
        <w:rPr>
          <w:rFonts w:ascii="Calibri" w:hAnsi="Calibri" w:cs="Calibri"/>
          <w:color w:val="auto"/>
        </w:rPr>
      </w:pPr>
      <w:commentRangeStart w:id="19"/>
      <w:r w:rsidRPr="00230DE4">
        <w:rPr>
          <w:rFonts w:ascii="Calibri" w:hAnsi="Calibri" w:cs="Calibri"/>
          <w:color w:val="auto"/>
        </w:rPr>
        <w:t>(7) Dacă avocatul nu poate aplica măsurile de cunoaștere a clientelei nu va iniția sau, după caz, va înceta de îndată relația profesională cu acel client, fapt ce intră sub protecția secretului profesional al avocatului.</w:t>
      </w:r>
      <w:commentRangeEnd w:id="19"/>
      <w:r w:rsidRPr="00230DE4">
        <w:rPr>
          <w:rStyle w:val="CommentReference"/>
          <w:rFonts w:ascii="Calibri" w:hAnsi="Calibri" w:cs="Calibri"/>
          <w:color w:val="auto"/>
        </w:rPr>
        <w:commentReference w:id="19"/>
      </w:r>
    </w:p>
    <w:p w14:paraId="302A6618" w14:textId="77777777" w:rsidR="00494CC7" w:rsidRPr="00230DE4" w:rsidRDefault="00494CC7" w:rsidP="00494CC7">
      <w:pPr>
        <w:pStyle w:val="Corp"/>
        <w:spacing w:line="276" w:lineRule="auto"/>
        <w:ind w:firstLine="720"/>
        <w:jc w:val="both"/>
        <w:rPr>
          <w:rFonts w:ascii="Calibri" w:hAnsi="Calibri" w:cs="Calibri"/>
          <w:color w:val="auto"/>
        </w:rPr>
      </w:pPr>
      <w:commentRangeStart w:id="20"/>
      <w:r w:rsidRPr="00230DE4">
        <w:rPr>
          <w:rFonts w:ascii="Calibri" w:hAnsi="Calibri" w:cs="Calibri"/>
          <w:color w:val="auto"/>
        </w:rPr>
        <w:t>(8) Obligația de a desemna una sau mai multe persoane care au responsabilități în aplicarea legii revine exclusiv formelor de exercitare a profesiei de avocat constituite ca societăți profesionale cu răspundere limitată, obligația fiind în sarcina avocatului sau, după caz, avocaților coordonatori.</w:t>
      </w:r>
      <w:commentRangeEnd w:id="20"/>
      <w:r w:rsidRPr="00230DE4">
        <w:rPr>
          <w:rStyle w:val="CommentReference"/>
          <w:rFonts w:ascii="Calibri" w:hAnsi="Calibri" w:cs="Calibri"/>
          <w:color w:val="auto"/>
        </w:rPr>
        <w:commentReference w:id="20"/>
      </w:r>
    </w:p>
    <w:p w14:paraId="659B7073"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 xml:space="preserve">(9) Avocatul are obligația de a adopta la nivelul formei de exercitare a profesiei politici și norme interne, mecanisme de control intern și proceduri de administrare a riscurilor de spălare a banilor și de finanțare a terorismului potrivit Legii, inclusiv modalitatea de punere în aplicare a sancțiunilor internaționale, corespunzător naturii și volumului activității desfășurate de către avocat. </w:t>
      </w:r>
    </w:p>
    <w:p w14:paraId="1735C9D1" w14:textId="77777777" w:rsidR="00494CC7" w:rsidRPr="00230DE4" w:rsidRDefault="00494CC7" w:rsidP="00494CC7">
      <w:pPr>
        <w:pStyle w:val="Corp"/>
        <w:spacing w:line="276" w:lineRule="auto"/>
        <w:ind w:firstLine="720"/>
        <w:jc w:val="both"/>
        <w:rPr>
          <w:rFonts w:ascii="Calibri" w:hAnsi="Calibri" w:cs="Calibri"/>
          <w:color w:val="auto"/>
        </w:rPr>
      </w:pPr>
      <w:commentRangeStart w:id="21"/>
      <w:r w:rsidRPr="00230DE4">
        <w:rPr>
          <w:rFonts w:ascii="Calibri" w:hAnsi="Calibri" w:cs="Calibri"/>
          <w:color w:val="auto"/>
        </w:rPr>
        <w:t xml:space="preserve">(10) Avocatul titular, avocatul sau, după caz, avocații coordonatori din cadrul formei de exercitare a profesiei au obligația de a întreprinde măsurile necesare pentru ca în cadrul formei de exercitare a profesiei în care își desfășoară activitatea să efectueze cel puțin o dată pe an sau ori de câte ori se impune </w:t>
      </w:r>
      <w:r w:rsidRPr="00230DE4">
        <w:rPr>
          <w:rFonts w:ascii="Calibri" w:hAnsi="Calibri" w:cs="Calibri"/>
          <w:color w:val="auto"/>
        </w:rPr>
        <w:lastRenderedPageBreak/>
        <w:t>activități de instruire cu privire la politicile și normele interne, mecanismele de control intern și procedurile de administrare a riscurilor de spălare a banilor și de finanțare a terorismului pentru avocații cu care sunt încheiate contracte de colaborare, de conlucrare profesională sau de salarizare în interiorul profesiei, cât și cu privire la personalul salariat dacă există și dacă este cazul în raport de fișa postului.</w:t>
      </w:r>
      <w:commentRangeEnd w:id="21"/>
      <w:r w:rsidRPr="00230DE4">
        <w:rPr>
          <w:rStyle w:val="CommentReference"/>
          <w:rFonts w:ascii="Calibri" w:hAnsi="Calibri" w:cs="Calibri"/>
          <w:color w:val="auto"/>
        </w:rPr>
        <w:commentReference w:id="21"/>
      </w:r>
    </w:p>
    <w:p w14:paraId="058C08D5" w14:textId="77777777" w:rsidR="00494CC7" w:rsidRPr="00230DE4" w:rsidRDefault="00494CC7" w:rsidP="00494CC7">
      <w:pPr>
        <w:pStyle w:val="Corp"/>
        <w:spacing w:line="276" w:lineRule="auto"/>
        <w:ind w:firstLine="720"/>
        <w:rPr>
          <w:rFonts w:ascii="Calibri" w:hAnsi="Calibri" w:cs="Calibri"/>
          <w:color w:val="auto"/>
        </w:rPr>
      </w:pPr>
      <w:commentRangeStart w:id="22"/>
      <w:r w:rsidRPr="00230DE4">
        <w:rPr>
          <w:rFonts w:ascii="Calibri" w:hAnsi="Calibri" w:cs="Calibri"/>
          <w:color w:val="auto"/>
        </w:rPr>
        <w:t>(11) Avocatul titular, avocatul sau, după caz, avocații coordonatori din cadrul formei de exercitare a profesiei au obligația de a întreprinde măsurile necesare pentru a se efectua de către avocații cu care sunt încheiate contracte de colaborare, de conlucrare profesională sau de salarizare în interiorul profesiei, la un interval de doi ani, activități de instruire cu privire la aplicarea dispozițiilor din Lege, precum și cu privire la cerințele relevante privind protecția datelor cu caracter personal, cu verificarea cunoștințelor dobândite în cele două domenii de activitate menționate.</w:t>
      </w:r>
      <w:commentRangeEnd w:id="22"/>
      <w:r w:rsidRPr="00230DE4">
        <w:rPr>
          <w:rStyle w:val="CommentReference"/>
          <w:rFonts w:ascii="Calibri" w:hAnsi="Calibri" w:cs="Calibri"/>
          <w:color w:val="auto"/>
        </w:rPr>
        <w:commentReference w:id="22"/>
      </w:r>
    </w:p>
    <w:p w14:paraId="683B85CE" w14:textId="77777777" w:rsidR="00494CC7" w:rsidRPr="00230DE4" w:rsidRDefault="00494CC7" w:rsidP="00494CC7">
      <w:pPr>
        <w:pStyle w:val="Corp"/>
        <w:spacing w:line="276" w:lineRule="auto"/>
        <w:ind w:firstLine="720"/>
        <w:rPr>
          <w:rFonts w:ascii="Calibri" w:hAnsi="Calibri" w:cs="Calibri"/>
          <w:color w:val="auto"/>
        </w:rPr>
      </w:pPr>
      <w:commentRangeStart w:id="23"/>
      <w:r w:rsidRPr="00230DE4">
        <w:rPr>
          <w:rFonts w:ascii="Calibri" w:hAnsi="Calibri" w:cs="Calibri"/>
          <w:color w:val="auto"/>
        </w:rPr>
        <w:t>(12) Avocatul titular, avocatul sau, după caz, avocații coordonatori din cadrul formei de exercitare a profesiei au obligația, în funcție de riscurile la care sunt expuse, dimensiunea și natura activității, de a întreprinde măsurile necesare pentru ca avocații cu care sunt încheiate contracte de colaborare, de conlucrare profesională sau de salarizare în interiorul profesiei  și care au responsabilități cu privire la aplicarea Legii să participe, ori de câte ori este nevoie, la programe speciale de formare profesională permanente, având ca scop recunoașterea operațiunilor care pot avea legătură cu spălarea banilor sau cu finanțarea terorismului.</w:t>
      </w:r>
      <w:commentRangeEnd w:id="23"/>
      <w:r w:rsidRPr="00230DE4">
        <w:rPr>
          <w:rStyle w:val="CommentReference"/>
          <w:rFonts w:ascii="Calibri" w:hAnsi="Calibri" w:cs="Calibri"/>
          <w:color w:val="auto"/>
        </w:rPr>
        <w:commentReference w:id="23"/>
      </w:r>
    </w:p>
    <w:p w14:paraId="4E89130A" w14:textId="77777777" w:rsidR="00494CC7" w:rsidRPr="00230DE4" w:rsidRDefault="00494CC7" w:rsidP="00494CC7">
      <w:pPr>
        <w:pStyle w:val="Corp"/>
        <w:spacing w:line="276" w:lineRule="auto"/>
        <w:ind w:firstLine="720"/>
        <w:jc w:val="both"/>
        <w:rPr>
          <w:rFonts w:ascii="Calibri" w:hAnsi="Calibri" w:cs="Calibri"/>
          <w:color w:val="auto"/>
        </w:rPr>
      </w:pPr>
      <w:commentRangeStart w:id="24"/>
      <w:r w:rsidRPr="00230DE4">
        <w:rPr>
          <w:rFonts w:ascii="Calibri" w:hAnsi="Calibri" w:cs="Calibri"/>
          <w:color w:val="auto"/>
        </w:rPr>
        <w:t>(13) Obligația de a asigura o funcție de audit independent în scopul testării politicilor, normelor interne, mecanismelor și procedurilor de administrare a riscurilor de spălare a banilor și de finanțare a terorismului se va realiza la intervale de timp de 2 (doi) ani și revine în sarcina avocatului titular, avocatului sau, după caz, avocaților coordonatori din cadrul formelor de exercitare a profesiei de avocat, atunci când, în ultimul exercițiu financiar încheiat, depășesc cel puțin două din următoarele criterii:</w:t>
      </w:r>
    </w:p>
    <w:p w14:paraId="7BAC535A"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a) patrimoniul de afectațiune al formei de exercitare a profesiei de avocat are o valoare contabilă stabilită potrivit legii de 16.000.000 lei, iar în cazul societății profesionale cu răspundere limitată valoarea contabilă a activelor stabilită potrivit legii este de 16.000.000 lei;</w:t>
      </w:r>
    </w:p>
    <w:p w14:paraId="1D06930B"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 xml:space="preserve">b) totalul sumelor încasate în schimbul serviciilor avocațiale de avocatul titular al cabinetului individual, respectiv de toți avocații asociați din cadrul unor cabinete avocat asociate, a unei societăți civile profesionale sau a unei societăți profesionale cu răspundere limitată, fără a fi luată în calcul T.V.A. este de 32.000.000 lei; </w:t>
      </w:r>
    </w:p>
    <w:p w14:paraId="2043BD7A"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c) numărul mediu de contracte de colaborare, de conlucrare profesională și de salarizare în interiorul profesiei încheiate de către o singură formă de exercitare a profesiei este de 50;</w:t>
      </w:r>
      <w:commentRangeEnd w:id="24"/>
      <w:r w:rsidRPr="00230DE4">
        <w:rPr>
          <w:rStyle w:val="CommentReference"/>
          <w:rFonts w:ascii="Calibri" w:hAnsi="Calibri" w:cs="Calibri"/>
          <w:color w:val="auto"/>
        </w:rPr>
        <w:commentReference w:id="24"/>
      </w:r>
    </w:p>
    <w:p w14:paraId="61C8B8CD" w14:textId="77777777" w:rsidR="00494CC7" w:rsidRPr="00230DE4" w:rsidRDefault="00494CC7" w:rsidP="00494CC7">
      <w:pPr>
        <w:pStyle w:val="Corp"/>
        <w:spacing w:line="276" w:lineRule="auto"/>
        <w:ind w:firstLine="720"/>
        <w:jc w:val="both"/>
        <w:rPr>
          <w:rFonts w:ascii="Calibri" w:hAnsi="Calibri" w:cs="Calibri"/>
          <w:color w:val="auto"/>
        </w:rPr>
      </w:pPr>
      <w:commentRangeStart w:id="25"/>
      <w:r w:rsidRPr="00230DE4">
        <w:rPr>
          <w:rFonts w:ascii="Calibri" w:hAnsi="Calibri" w:cs="Calibri"/>
          <w:color w:val="auto"/>
        </w:rPr>
        <w:t>(14) Este interzis avocatului să furnizeze clientului consultanță juridică în scopul spălării banilor sau al finanțării terorismului.</w:t>
      </w:r>
    </w:p>
    <w:p w14:paraId="6C667540"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color w:val="auto"/>
        </w:rPr>
        <w:t>(15) Este interzis avocatului să furnizeze clientului consultanță juridică atunci când din analiza unor elemente obiective are cunoștință de faptul că acesta dorește consultanța juridică în scopul spălării banilor sau al finanțării terorismului.</w:t>
      </w:r>
      <w:commentRangeEnd w:id="25"/>
      <w:r w:rsidRPr="00230DE4">
        <w:rPr>
          <w:rStyle w:val="CommentReference"/>
          <w:rFonts w:ascii="Calibri" w:hAnsi="Calibri" w:cs="Calibri"/>
          <w:color w:val="auto"/>
        </w:rPr>
        <w:commentReference w:id="25"/>
      </w:r>
    </w:p>
    <w:p w14:paraId="31ACFDDB" w14:textId="77777777" w:rsidR="00494CC7" w:rsidRPr="00230DE4" w:rsidRDefault="00494CC7" w:rsidP="00494CC7">
      <w:pPr>
        <w:pStyle w:val="Corp"/>
        <w:spacing w:line="276" w:lineRule="auto"/>
        <w:ind w:firstLine="720"/>
        <w:jc w:val="both"/>
        <w:rPr>
          <w:rFonts w:ascii="Calibri" w:hAnsi="Calibri" w:cs="Calibri"/>
          <w:color w:val="auto"/>
        </w:rPr>
      </w:pPr>
      <w:commentRangeStart w:id="26"/>
      <w:r w:rsidRPr="00230DE4">
        <w:rPr>
          <w:rFonts w:ascii="Calibri" w:hAnsi="Calibri" w:cs="Calibri"/>
          <w:color w:val="auto"/>
        </w:rPr>
        <w:t>(16) Avocatul condamnat definitiv pentru infracțiunea de spălare de bani sau de finanțare a terorismului nu poate avea calitatea de avocat titular sau, după caz, de avocat coordonator al unei forme de exercitare a profesiei de avocat.</w:t>
      </w:r>
      <w:commentRangeEnd w:id="26"/>
      <w:r w:rsidRPr="00230DE4">
        <w:rPr>
          <w:rStyle w:val="CommentReference"/>
          <w:rFonts w:ascii="Calibri" w:hAnsi="Calibri" w:cs="Calibri"/>
          <w:color w:val="auto"/>
        </w:rPr>
        <w:commentReference w:id="26"/>
      </w:r>
    </w:p>
    <w:p w14:paraId="549379B9" w14:textId="77777777" w:rsidR="00494CC7" w:rsidRPr="00230DE4" w:rsidRDefault="00494CC7" w:rsidP="00494CC7">
      <w:pPr>
        <w:pStyle w:val="Corp"/>
        <w:spacing w:line="276" w:lineRule="auto"/>
        <w:jc w:val="both"/>
        <w:rPr>
          <w:rFonts w:ascii="Calibri" w:hAnsi="Calibri" w:cs="Calibri"/>
          <w:color w:val="auto"/>
        </w:rPr>
      </w:pPr>
    </w:p>
    <w:p w14:paraId="38B18CC4"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b/>
          <w:bCs/>
          <w:color w:val="auto"/>
        </w:rPr>
        <w:lastRenderedPageBreak/>
        <w:t>Art. 11. Măsuri de combatere.</w:t>
      </w:r>
      <w:r w:rsidRPr="00230DE4">
        <w:rPr>
          <w:rFonts w:ascii="Calibri" w:hAnsi="Calibri" w:cs="Calibri"/>
          <w:color w:val="auto"/>
        </w:rPr>
        <w:t xml:space="preserve"> </w:t>
      </w:r>
    </w:p>
    <w:p w14:paraId="0E721DE3" w14:textId="77777777" w:rsidR="00494CC7" w:rsidRPr="00230DE4" w:rsidRDefault="00494CC7" w:rsidP="00494CC7">
      <w:pPr>
        <w:pStyle w:val="Corp"/>
        <w:spacing w:line="276" w:lineRule="auto"/>
        <w:ind w:firstLine="720"/>
        <w:jc w:val="both"/>
        <w:rPr>
          <w:rFonts w:ascii="Calibri" w:hAnsi="Calibri" w:cs="Calibri"/>
          <w:color w:val="auto"/>
        </w:rPr>
      </w:pPr>
      <w:commentRangeStart w:id="27"/>
      <w:r w:rsidRPr="00230DE4">
        <w:rPr>
          <w:rFonts w:ascii="Calibri" w:hAnsi="Calibri" w:cs="Calibri"/>
          <w:color w:val="auto"/>
        </w:rPr>
        <w:t>(1) Avocatul are obligația de a transmite un raport de tranzacții suspecte numai în măsura în care nu se aduce atingere secretului profesional prevăzut de Legea nr. 51/1995 pentru organizarea și exercitarea profesiei de avocat, republicată și de Statutul profesiei de avocat.</w:t>
      </w:r>
      <w:commentRangeEnd w:id="27"/>
      <w:r w:rsidRPr="00230DE4">
        <w:rPr>
          <w:rStyle w:val="CommentReference"/>
          <w:rFonts w:ascii="Calibri" w:hAnsi="Calibri" w:cs="Calibri"/>
          <w:color w:val="auto"/>
        </w:rPr>
        <w:commentReference w:id="27"/>
      </w:r>
    </w:p>
    <w:p w14:paraId="4AF14968" w14:textId="77777777" w:rsidR="00494CC7" w:rsidRPr="00230DE4" w:rsidRDefault="00494CC7" w:rsidP="00494CC7">
      <w:pPr>
        <w:pStyle w:val="Corp"/>
        <w:spacing w:line="276" w:lineRule="auto"/>
        <w:ind w:firstLine="720"/>
        <w:jc w:val="both"/>
        <w:rPr>
          <w:rFonts w:ascii="Calibri" w:hAnsi="Calibri" w:cs="Calibri"/>
          <w:color w:val="auto"/>
        </w:rPr>
      </w:pPr>
      <w:commentRangeStart w:id="28"/>
      <w:r w:rsidRPr="00230DE4">
        <w:rPr>
          <w:rFonts w:ascii="Calibri" w:hAnsi="Calibri" w:cs="Calibri"/>
          <w:color w:val="auto"/>
        </w:rPr>
        <w:t>(2) Avocatul are obligația de a transmite un raport de tranzacție care nu prezintă indicatori de suspiciune numai în măsura în care nu se aduce atingere secretului profesional prevăzut de Legea nr. 51/1995 pentru organizarea și exercitarea profesiei de avocat, republicată și de Statutul profesiei de avocat.</w:t>
      </w:r>
      <w:commentRangeEnd w:id="28"/>
      <w:r w:rsidRPr="00230DE4">
        <w:rPr>
          <w:rStyle w:val="CommentReference"/>
          <w:rFonts w:ascii="Calibri" w:hAnsi="Calibri" w:cs="Calibri"/>
          <w:color w:val="auto"/>
        </w:rPr>
        <w:commentReference w:id="28"/>
      </w:r>
    </w:p>
    <w:p w14:paraId="259A009C" w14:textId="77777777" w:rsidR="00494CC7" w:rsidRPr="00230DE4" w:rsidRDefault="00494CC7" w:rsidP="00494CC7">
      <w:pPr>
        <w:pStyle w:val="Corp"/>
        <w:spacing w:line="276" w:lineRule="auto"/>
        <w:ind w:firstLine="720"/>
        <w:jc w:val="both"/>
        <w:rPr>
          <w:rFonts w:ascii="Calibri" w:hAnsi="Calibri" w:cs="Calibri"/>
          <w:color w:val="auto"/>
        </w:rPr>
      </w:pPr>
      <w:commentRangeStart w:id="29"/>
      <w:r w:rsidRPr="00230DE4">
        <w:rPr>
          <w:rFonts w:ascii="Calibri" w:hAnsi="Calibri" w:cs="Calibri"/>
          <w:color w:val="auto"/>
        </w:rPr>
        <w:t>(3) Avocatul care transmite către O.N.P.C.S.B. un raport de tranzacții suspecte are obligația de a notifica baroul din care face parte și U.N.B.R. cu privire la transmiterea raportului de tranzacții suspecte.</w:t>
      </w:r>
      <w:commentRangeEnd w:id="29"/>
      <w:r w:rsidRPr="00230DE4">
        <w:rPr>
          <w:rStyle w:val="CommentReference"/>
          <w:rFonts w:ascii="Calibri" w:hAnsi="Calibri" w:cs="Calibri"/>
          <w:color w:val="auto"/>
        </w:rPr>
        <w:commentReference w:id="29"/>
      </w:r>
    </w:p>
    <w:p w14:paraId="201634BE" w14:textId="77777777" w:rsidR="00494CC7" w:rsidRPr="00230DE4" w:rsidRDefault="00494CC7" w:rsidP="00494CC7">
      <w:pPr>
        <w:pStyle w:val="Corp"/>
        <w:spacing w:line="276" w:lineRule="auto"/>
        <w:ind w:firstLine="720"/>
        <w:jc w:val="both"/>
        <w:rPr>
          <w:rFonts w:ascii="Calibri" w:hAnsi="Calibri" w:cs="Calibri"/>
          <w:color w:val="auto"/>
        </w:rPr>
      </w:pPr>
      <w:commentRangeStart w:id="30"/>
      <w:r w:rsidRPr="00230DE4">
        <w:rPr>
          <w:rFonts w:ascii="Calibri" w:hAnsi="Calibri" w:cs="Calibri"/>
          <w:color w:val="auto"/>
        </w:rPr>
        <w:t>(4) Avocatul are obligația de a comunica O.N.P.C.S.B. datele și informațiile solicitate numai în măsura în care nu se aduce atingere secretului profesional prevăzut de Legea nr. 51/1995 pentru organizarea și exercitarea profesiei de avocat, republicată și de Statutul profesiei de avocat.</w:t>
      </w:r>
      <w:commentRangeEnd w:id="30"/>
      <w:r w:rsidRPr="00230DE4">
        <w:rPr>
          <w:rStyle w:val="CommentReference"/>
          <w:rFonts w:ascii="Calibri" w:hAnsi="Calibri" w:cs="Calibri"/>
          <w:color w:val="auto"/>
        </w:rPr>
        <w:commentReference w:id="30"/>
      </w:r>
    </w:p>
    <w:p w14:paraId="0EF22F39" w14:textId="77777777" w:rsidR="00494CC7" w:rsidRPr="00230DE4" w:rsidRDefault="00494CC7" w:rsidP="00494CC7">
      <w:pPr>
        <w:pStyle w:val="Corp"/>
        <w:spacing w:line="276" w:lineRule="auto"/>
        <w:ind w:firstLine="720"/>
        <w:jc w:val="both"/>
        <w:rPr>
          <w:rFonts w:ascii="Calibri" w:hAnsi="Calibri" w:cs="Calibri"/>
          <w:color w:val="auto"/>
        </w:rPr>
      </w:pPr>
    </w:p>
    <w:p w14:paraId="7C0A5B25" w14:textId="77777777" w:rsidR="00494CC7" w:rsidRPr="00230DE4" w:rsidRDefault="00494CC7" w:rsidP="00494CC7">
      <w:pPr>
        <w:pStyle w:val="Corp"/>
        <w:spacing w:line="276" w:lineRule="auto"/>
        <w:ind w:firstLine="720"/>
        <w:jc w:val="both"/>
        <w:rPr>
          <w:rFonts w:ascii="Calibri" w:hAnsi="Calibri" w:cs="Calibri"/>
          <w:b/>
          <w:bCs/>
          <w:color w:val="auto"/>
        </w:rPr>
      </w:pPr>
      <w:r w:rsidRPr="00230DE4">
        <w:rPr>
          <w:rFonts w:ascii="Calibri" w:hAnsi="Calibri" w:cs="Calibri"/>
          <w:b/>
          <w:bCs/>
          <w:color w:val="auto"/>
        </w:rPr>
        <w:t>Capitolul. IV. Proceduri de control realizate de către O.N.P.C.S.B.</w:t>
      </w:r>
    </w:p>
    <w:p w14:paraId="3457988C" w14:textId="77777777" w:rsidR="00494CC7" w:rsidRPr="00230DE4" w:rsidRDefault="00494CC7" w:rsidP="00494CC7">
      <w:pPr>
        <w:pStyle w:val="Corp"/>
        <w:spacing w:line="276" w:lineRule="auto"/>
        <w:ind w:firstLine="720"/>
        <w:jc w:val="both"/>
        <w:rPr>
          <w:rFonts w:ascii="Calibri" w:hAnsi="Calibri" w:cs="Calibri"/>
          <w:color w:val="auto"/>
        </w:rPr>
      </w:pPr>
      <w:r w:rsidRPr="00230DE4">
        <w:rPr>
          <w:rFonts w:ascii="Calibri" w:hAnsi="Calibri" w:cs="Calibri"/>
          <w:b/>
          <w:bCs/>
          <w:color w:val="auto"/>
        </w:rPr>
        <w:t>Art. 12. Respectarea secretului profesional.</w:t>
      </w:r>
    </w:p>
    <w:p w14:paraId="1F840150" w14:textId="77777777" w:rsidR="00494CC7" w:rsidRPr="00230DE4" w:rsidRDefault="00494CC7" w:rsidP="00494CC7">
      <w:pPr>
        <w:pStyle w:val="Corp"/>
        <w:spacing w:line="276" w:lineRule="auto"/>
        <w:ind w:firstLine="720"/>
        <w:jc w:val="both"/>
        <w:rPr>
          <w:rFonts w:ascii="Calibri" w:hAnsi="Calibri" w:cs="Calibri"/>
          <w:color w:val="auto"/>
        </w:rPr>
      </w:pPr>
      <w:commentRangeStart w:id="31"/>
      <w:r w:rsidRPr="00230DE4">
        <w:rPr>
          <w:rFonts w:ascii="Calibri" w:hAnsi="Calibri" w:cs="Calibri"/>
          <w:color w:val="auto"/>
        </w:rPr>
        <w:t>(1) Procedura de control a avocatului cu privire la îndeplinirea obligațiilor ce revin acestuia prin Lege se va realiza de către O.N.P.C.S.B. în baza datelor și a informațiilor puse la dispoziție de către avocat care pot fi anonimizate, în tot sau în parte, în scopul respectării secretului profesional prevăzut de Legea nr. 51/1995 pentru organizarea și exercitarea profesiei de avocat, republicată și de Statutul profesiei de avocat.</w:t>
      </w:r>
      <w:commentRangeEnd w:id="31"/>
      <w:r w:rsidRPr="00230DE4">
        <w:rPr>
          <w:rStyle w:val="CommentReference"/>
          <w:rFonts w:ascii="Calibri" w:hAnsi="Calibri" w:cs="Calibri"/>
          <w:color w:val="auto"/>
        </w:rPr>
        <w:commentReference w:id="31"/>
      </w:r>
    </w:p>
    <w:p w14:paraId="2633145C" w14:textId="77777777" w:rsidR="00494CC7" w:rsidRPr="00230DE4" w:rsidRDefault="00494CC7" w:rsidP="00494CC7">
      <w:pPr>
        <w:pStyle w:val="Corp"/>
        <w:spacing w:line="276" w:lineRule="auto"/>
        <w:ind w:firstLine="720"/>
        <w:jc w:val="both"/>
        <w:rPr>
          <w:rFonts w:ascii="Calibri" w:hAnsi="Calibri" w:cs="Calibri"/>
          <w:color w:val="auto"/>
        </w:rPr>
      </w:pPr>
      <w:commentRangeStart w:id="32"/>
      <w:r w:rsidRPr="00230DE4">
        <w:rPr>
          <w:rFonts w:ascii="Calibri" w:hAnsi="Calibri" w:cs="Calibri"/>
          <w:color w:val="auto"/>
        </w:rPr>
        <w:t>(2) Cu ocazia procedurilor de control realizate de către  O.N.P.C.S.B. la sediul profesional, sediul secundar sau la biroul de lucru a formei de exercitare a profesiei din care face parte avocatul, acesta din urmă are dreptul de a fi asistat la cerere de către un consilier al baroului desemnat în mod expres de către decanul baroului din care face parte avocatul sau de către decanul pe raza căruia este înființat sediul secundar.</w:t>
      </w:r>
      <w:commentRangeEnd w:id="32"/>
      <w:r w:rsidRPr="00230DE4">
        <w:rPr>
          <w:rStyle w:val="CommentReference"/>
          <w:rFonts w:ascii="Calibri" w:hAnsi="Calibri" w:cs="Calibri"/>
          <w:color w:val="auto"/>
        </w:rPr>
        <w:commentReference w:id="32"/>
      </w:r>
    </w:p>
    <w:p w14:paraId="10A0CD0A" w14:textId="77777777" w:rsidR="00494CC7" w:rsidRPr="00230DE4" w:rsidRDefault="00494CC7" w:rsidP="00494CC7">
      <w:pPr>
        <w:pStyle w:val="Corp"/>
        <w:spacing w:line="276" w:lineRule="auto"/>
        <w:ind w:firstLine="720"/>
        <w:jc w:val="both"/>
        <w:rPr>
          <w:rFonts w:ascii="Calibri" w:hAnsi="Calibri" w:cs="Calibri"/>
          <w:color w:val="auto"/>
          <w:shd w:val="clear" w:color="auto" w:fill="FFFFFF"/>
        </w:rPr>
      </w:pPr>
      <w:r w:rsidRPr="00230DE4">
        <w:rPr>
          <w:rFonts w:ascii="Calibri" w:hAnsi="Calibri" w:cs="Calibri"/>
          <w:color w:val="auto"/>
        </w:rPr>
        <w:t xml:space="preserve">(3) </w:t>
      </w:r>
      <w:r w:rsidRPr="00230DE4">
        <w:rPr>
          <w:rFonts w:ascii="Calibri" w:hAnsi="Calibri" w:cs="Calibri"/>
          <w:color w:val="auto"/>
          <w:shd w:val="clear" w:color="auto" w:fill="FFFFFF"/>
        </w:rPr>
        <w:t>Secretul profesional</w:t>
      </w:r>
      <w:r w:rsidRPr="00230DE4">
        <w:rPr>
          <w:rStyle w:val="Strong"/>
          <w:rFonts w:ascii="Calibri" w:hAnsi="Calibri" w:cs="Calibri"/>
          <w:color w:val="auto"/>
          <w:shd w:val="clear" w:color="auto" w:fill="FFFFFF"/>
        </w:rPr>
        <w:t> </w:t>
      </w:r>
      <w:r w:rsidRPr="00230DE4">
        <w:rPr>
          <w:rStyle w:val="Strong"/>
          <w:rFonts w:ascii="Calibri" w:hAnsi="Calibri" w:cs="Calibri"/>
          <w:b w:val="0"/>
          <w:bCs w:val="0"/>
          <w:color w:val="auto"/>
          <w:shd w:val="clear" w:color="auto" w:fill="FFFFFF"/>
        </w:rPr>
        <w:t xml:space="preserve">al avocatului </w:t>
      </w:r>
      <w:r w:rsidRPr="00230DE4">
        <w:rPr>
          <w:rFonts w:ascii="Calibri" w:hAnsi="Calibri" w:cs="Calibri"/>
          <w:color w:val="auto"/>
          <w:shd w:val="clear" w:color="auto" w:fill="FFFFFF"/>
        </w:rPr>
        <w:t>este aplicabil și în situația anterioară încheierii unui contract de asistență juridică, mai exact acesta subzistă începând cu momentul în care clientul intră în contact cu un avocat pentru a beneficia de servicii juridice, chiar dacă acestea nu ajung să fie prestate sau realizate efectiv.</w:t>
      </w:r>
    </w:p>
    <w:p w14:paraId="03E6B448" w14:textId="77777777" w:rsidR="00494CC7" w:rsidRPr="00230DE4" w:rsidRDefault="00494CC7" w:rsidP="00494CC7">
      <w:pPr>
        <w:pStyle w:val="Corp"/>
        <w:spacing w:line="276" w:lineRule="auto"/>
        <w:ind w:firstLine="720"/>
        <w:jc w:val="both"/>
        <w:rPr>
          <w:rFonts w:ascii="Calibri" w:hAnsi="Calibri" w:cs="Calibri"/>
          <w:color w:val="auto"/>
        </w:rPr>
      </w:pPr>
      <w:commentRangeStart w:id="33"/>
      <w:r w:rsidRPr="00230DE4">
        <w:rPr>
          <w:rFonts w:ascii="Calibri" w:hAnsi="Calibri" w:cs="Calibri"/>
          <w:color w:val="auto"/>
          <w:shd w:val="clear" w:color="auto" w:fill="FFFFFF"/>
        </w:rPr>
        <w:t xml:space="preserve">(4) Avocatul va îndeplini obligațiile prevăzute de Lege și prezentele norme sectoriale, </w:t>
      </w:r>
      <w:r w:rsidRPr="00230DE4">
        <w:rPr>
          <w:rFonts w:ascii="Calibri" w:hAnsi="Calibri" w:cs="Calibri"/>
          <w:color w:val="auto"/>
        </w:rPr>
        <w:t xml:space="preserve">Ordinul Președintelui O.N.P.C.S.B. nr. 37/2021, O.U.G. nr. 202/2008 aprobată prin Legea nr. 217/2009 privind punerea în aplicare a sancțiunilor internaționale și de H.G. nr. 603/2011 </w:t>
      </w:r>
      <w:r w:rsidRPr="00230DE4">
        <w:rPr>
          <w:rFonts w:ascii="Calibri" w:hAnsi="Calibri" w:cs="Calibri"/>
          <w:color w:val="auto"/>
          <w:shd w:val="clear" w:color="auto" w:fill="FFFFFF"/>
        </w:rPr>
        <w:t>cu respectarea dispozițiilor prevăzute de Legea nr. 51/1995 pentru organizarea și exercitarea profesiei de avocat, republicată și Statutul profesiei de avocat privind păstrarea secretului profesional.</w:t>
      </w:r>
      <w:commentRangeEnd w:id="33"/>
      <w:r w:rsidRPr="00230DE4">
        <w:rPr>
          <w:rStyle w:val="CommentReference"/>
          <w:rFonts w:ascii="Calibri" w:hAnsi="Calibri" w:cs="Calibri"/>
          <w:color w:val="auto"/>
        </w:rPr>
        <w:commentReference w:id="33"/>
      </w:r>
    </w:p>
    <w:p w14:paraId="449ED1BF" w14:textId="77777777" w:rsidR="00494CC7" w:rsidRPr="00230DE4" w:rsidRDefault="00494CC7" w:rsidP="00494CC7">
      <w:pPr>
        <w:pStyle w:val="Corp"/>
        <w:spacing w:line="276" w:lineRule="auto"/>
        <w:jc w:val="both"/>
        <w:rPr>
          <w:rFonts w:ascii="Calibri" w:hAnsi="Calibri" w:cs="Calibri"/>
          <w:b/>
          <w:bCs/>
          <w:color w:val="auto"/>
        </w:rPr>
      </w:pPr>
    </w:p>
    <w:p w14:paraId="1BE170F1" w14:textId="77777777" w:rsidR="00494CC7" w:rsidRPr="00230DE4" w:rsidRDefault="00494CC7" w:rsidP="00494CC7">
      <w:pPr>
        <w:pStyle w:val="Corp"/>
        <w:spacing w:line="276" w:lineRule="auto"/>
        <w:jc w:val="both"/>
        <w:rPr>
          <w:rFonts w:ascii="Calibri" w:hAnsi="Calibri" w:cs="Calibri"/>
          <w:b/>
          <w:bCs/>
          <w:color w:val="auto"/>
        </w:rPr>
      </w:pPr>
      <w:r w:rsidRPr="00230DE4">
        <w:rPr>
          <w:rFonts w:ascii="Calibri" w:hAnsi="Calibri" w:cs="Calibri"/>
          <w:b/>
          <w:bCs/>
          <w:color w:val="auto"/>
        </w:rPr>
        <w:tab/>
      </w:r>
      <w:r w:rsidRPr="00230DE4">
        <w:rPr>
          <w:rFonts w:ascii="Calibri" w:hAnsi="Calibri" w:cs="Calibri"/>
          <w:color w:val="auto"/>
        </w:rPr>
        <w:t xml:space="preserve"> </w:t>
      </w:r>
      <w:r w:rsidRPr="00230DE4">
        <w:rPr>
          <w:rFonts w:ascii="Calibri" w:hAnsi="Calibri" w:cs="Calibri"/>
          <w:b/>
          <w:bCs/>
          <w:color w:val="auto"/>
        </w:rPr>
        <w:t>Capitolul V. Dispoziții finale.</w:t>
      </w:r>
    </w:p>
    <w:p w14:paraId="2C2746A9" w14:textId="078B33B8" w:rsidR="000C23AA" w:rsidRPr="00230DE4" w:rsidRDefault="00494CC7" w:rsidP="00256FBC">
      <w:pPr>
        <w:pStyle w:val="Corp"/>
        <w:spacing w:line="276" w:lineRule="auto"/>
        <w:ind w:firstLine="720"/>
        <w:jc w:val="both"/>
        <w:rPr>
          <w:rFonts w:ascii="Calibri" w:hAnsi="Calibri" w:cs="Calibri"/>
          <w:b/>
          <w:bCs/>
          <w:iCs/>
          <w:color w:val="auto"/>
          <w:sz w:val="32"/>
          <w:szCs w:val="32"/>
        </w:rPr>
      </w:pPr>
      <w:r w:rsidRPr="00230DE4">
        <w:rPr>
          <w:rFonts w:ascii="Calibri" w:hAnsi="Calibri" w:cs="Calibri"/>
          <w:b/>
          <w:bCs/>
          <w:color w:val="auto"/>
        </w:rPr>
        <w:t xml:space="preserve">Art. 13. </w:t>
      </w:r>
      <w:r w:rsidRPr="00230DE4">
        <w:rPr>
          <w:rFonts w:ascii="Calibri" w:hAnsi="Calibri" w:cs="Calibri"/>
          <w:color w:val="auto"/>
        </w:rPr>
        <w:t>Dispozițiile Legii nr 129/2019 și ale normelor de punere în aplicare aprobate prin Ordin al Președintelui O.N.P.C.S.B. se vor aplica cu respectarea Legii nr. 51/1995 pentru organizarea și exercitarea profesiei de avocat, a Statutului profesiei de avocat și normelor sectoriale.</w:t>
      </w:r>
      <w:r w:rsidR="000C23AA" w:rsidRPr="00230DE4">
        <w:rPr>
          <w:rFonts w:ascii="Calibri" w:hAnsi="Calibri" w:cs="Calibri"/>
          <w:b/>
          <w:bCs/>
          <w:iCs/>
          <w:color w:val="auto"/>
          <w:sz w:val="32"/>
          <w:szCs w:val="32"/>
        </w:rPr>
        <w:br w:type="page"/>
      </w:r>
    </w:p>
    <w:p w14:paraId="604DEFC8" w14:textId="1FF243FF" w:rsidR="000C23AA" w:rsidRPr="00230DE4" w:rsidRDefault="000C23AA" w:rsidP="000C23AA">
      <w:pPr>
        <w:spacing w:line="276" w:lineRule="auto"/>
        <w:jc w:val="right"/>
        <w:rPr>
          <w:rFonts w:ascii="Calibri" w:hAnsi="Calibri" w:cs="Calibri"/>
          <w:b/>
          <w:bCs/>
          <w:iCs/>
          <w:sz w:val="32"/>
          <w:szCs w:val="32"/>
        </w:rPr>
      </w:pPr>
      <w:r w:rsidRPr="00230DE4">
        <w:rPr>
          <w:rFonts w:ascii="Calibri" w:hAnsi="Calibri" w:cs="Calibri"/>
          <w:b/>
          <w:bCs/>
          <w:iCs/>
          <w:sz w:val="32"/>
          <w:szCs w:val="32"/>
        </w:rPr>
        <w:lastRenderedPageBreak/>
        <w:t>Anexa nr. 2 la Decizia Comisiei Permanente nr. 260/23 ianuarie 2025</w:t>
      </w:r>
    </w:p>
    <w:p w14:paraId="7B4D2626" w14:textId="77777777" w:rsidR="000C23AA" w:rsidRPr="00230DE4" w:rsidRDefault="000C23AA" w:rsidP="000C23AA">
      <w:pPr>
        <w:spacing w:line="276" w:lineRule="auto"/>
        <w:jc w:val="right"/>
        <w:rPr>
          <w:rFonts w:ascii="Calibri" w:hAnsi="Calibri" w:cs="Calibri"/>
          <w:b/>
          <w:bCs/>
          <w:iCs/>
          <w:sz w:val="32"/>
          <w:szCs w:val="32"/>
        </w:rPr>
      </w:pPr>
    </w:p>
    <w:p w14:paraId="78BA0486" w14:textId="77777777" w:rsidR="000C23AA" w:rsidRPr="00230DE4" w:rsidRDefault="000C23AA" w:rsidP="000C23AA">
      <w:pPr>
        <w:pStyle w:val="Corp"/>
        <w:spacing w:line="276" w:lineRule="auto"/>
        <w:jc w:val="center"/>
        <w:rPr>
          <w:rFonts w:ascii="Calibri" w:hAnsi="Calibri" w:cs="Calibri"/>
          <w:b/>
          <w:bCs/>
          <w:color w:val="auto"/>
          <w:sz w:val="28"/>
          <w:szCs w:val="28"/>
        </w:rPr>
      </w:pPr>
      <w:r w:rsidRPr="00230DE4">
        <w:rPr>
          <w:rFonts w:ascii="Calibri" w:hAnsi="Calibri" w:cs="Calibri"/>
          <w:b/>
          <w:bCs/>
          <w:color w:val="auto"/>
          <w:sz w:val="28"/>
          <w:szCs w:val="28"/>
        </w:rPr>
        <w:t xml:space="preserve">Procedura de control a organismului de autoreglementare U.N.B.R. în aplicarea </w:t>
      </w:r>
    </w:p>
    <w:p w14:paraId="134C8630" w14:textId="77777777" w:rsidR="000C23AA" w:rsidRPr="00230DE4" w:rsidRDefault="000C23AA" w:rsidP="000C23AA">
      <w:pPr>
        <w:pStyle w:val="Corp"/>
        <w:spacing w:line="276" w:lineRule="auto"/>
        <w:jc w:val="center"/>
        <w:rPr>
          <w:rFonts w:ascii="Calibri" w:eastAsia="Times New Roman" w:hAnsi="Calibri" w:cs="Calibri"/>
          <w:b/>
          <w:bCs/>
          <w:color w:val="auto"/>
          <w:sz w:val="28"/>
          <w:szCs w:val="28"/>
        </w:rPr>
      </w:pPr>
      <w:r w:rsidRPr="00230DE4">
        <w:rPr>
          <w:rFonts w:ascii="Calibri" w:hAnsi="Calibri" w:cs="Calibri"/>
          <w:b/>
          <w:bCs/>
          <w:color w:val="auto"/>
          <w:sz w:val="28"/>
          <w:szCs w:val="28"/>
        </w:rPr>
        <w:t xml:space="preserve">Legii nr. 129/2019 pentru prevenirea și combaterea spălării banilor și finanțării terorismului </w:t>
      </w:r>
    </w:p>
    <w:p w14:paraId="79C49C80" w14:textId="77777777" w:rsidR="000C23AA" w:rsidRPr="00230DE4" w:rsidRDefault="000C23AA" w:rsidP="000C23AA">
      <w:pPr>
        <w:pStyle w:val="Corp"/>
        <w:spacing w:line="276" w:lineRule="auto"/>
        <w:jc w:val="both"/>
        <w:rPr>
          <w:rFonts w:ascii="Calibri" w:eastAsia="Times New Roman" w:hAnsi="Calibri" w:cs="Calibri"/>
          <w:b/>
          <w:bCs/>
          <w:color w:val="auto"/>
        </w:rPr>
      </w:pPr>
    </w:p>
    <w:p w14:paraId="06B4DC21" w14:textId="77777777" w:rsidR="000C23AA" w:rsidRPr="00230DE4" w:rsidRDefault="000C23AA" w:rsidP="000C23AA">
      <w:pPr>
        <w:pStyle w:val="Corp"/>
        <w:spacing w:line="276" w:lineRule="auto"/>
        <w:ind w:firstLine="720"/>
        <w:jc w:val="both"/>
        <w:rPr>
          <w:rFonts w:ascii="Calibri" w:eastAsia="Times New Roman" w:hAnsi="Calibri" w:cs="Calibri"/>
          <w:b/>
          <w:bCs/>
          <w:color w:val="auto"/>
        </w:rPr>
      </w:pPr>
      <w:r w:rsidRPr="00230DE4">
        <w:rPr>
          <w:rFonts w:ascii="Calibri" w:hAnsi="Calibri" w:cs="Calibri"/>
          <w:b/>
          <w:bCs/>
          <w:color w:val="auto"/>
        </w:rPr>
        <w:t>Preambul:</w:t>
      </w:r>
    </w:p>
    <w:p w14:paraId="636D9AC1" w14:textId="77777777" w:rsidR="000C23AA" w:rsidRPr="00230DE4" w:rsidRDefault="000C23AA" w:rsidP="000C23AA">
      <w:pPr>
        <w:pStyle w:val="Corp"/>
        <w:spacing w:line="276" w:lineRule="auto"/>
        <w:ind w:firstLine="720"/>
        <w:jc w:val="both"/>
        <w:rPr>
          <w:rFonts w:ascii="Calibri" w:hAnsi="Calibri" w:cs="Calibri"/>
          <w:color w:val="auto"/>
          <w:bdr w:val="none" w:sz="0" w:space="0" w:color="auto" w:frame="1"/>
        </w:rPr>
      </w:pPr>
      <w:r w:rsidRPr="00230DE4">
        <w:rPr>
          <w:rFonts w:ascii="Calibri" w:hAnsi="Calibri" w:cs="Calibri"/>
          <w:color w:val="auto"/>
        </w:rPr>
        <w:t>Prezenta reglementare denumită în continuare „procedura de control” este adoptată în conformitate cu art. 2 lit. n), art. 26 alin. (1) lit. e) și art. 59 alin. (1) din Legea nr. 129/2019 coroborat cu art. 3 lit. d) și art. 4 alin. (2) lit. d) din Ordinul Președintelui O.N.P.C.S.B. nr. 37/2021.</w:t>
      </w:r>
    </w:p>
    <w:p w14:paraId="7ED6C3DD"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Scopul procedurii de control constă în verificarea modului în care avocatul respectă normele sectoriale aprobate de Consiliul U.N.B.R. prin care sunt adaptate dispozițiile din Legea nr. 129/2019 și din Ordinul Președintelui O.N.P.C.S.B. nr. 37/2021 denumite în continuare „Lege” la specificul și principiile profesiei de avocat.</w:t>
      </w:r>
    </w:p>
    <w:p w14:paraId="1024E8C1" w14:textId="77777777" w:rsidR="000C23AA" w:rsidRPr="00230DE4" w:rsidRDefault="000C23AA" w:rsidP="000C23AA">
      <w:pPr>
        <w:pStyle w:val="Corp"/>
        <w:spacing w:line="276" w:lineRule="auto"/>
        <w:ind w:firstLine="720"/>
        <w:jc w:val="both"/>
        <w:rPr>
          <w:rFonts w:ascii="Calibri" w:hAnsi="Calibri" w:cs="Calibri"/>
          <w:color w:val="auto"/>
        </w:rPr>
      </w:pPr>
    </w:p>
    <w:p w14:paraId="7301E424" w14:textId="77777777" w:rsidR="000C23AA" w:rsidRPr="00230DE4" w:rsidRDefault="000C23AA" w:rsidP="000C23AA">
      <w:pPr>
        <w:pStyle w:val="Corp"/>
        <w:spacing w:line="276" w:lineRule="auto"/>
        <w:ind w:firstLine="720"/>
        <w:jc w:val="both"/>
        <w:rPr>
          <w:rFonts w:ascii="Calibri" w:hAnsi="Calibri" w:cs="Calibri"/>
          <w:b/>
          <w:bCs/>
          <w:color w:val="auto"/>
        </w:rPr>
      </w:pPr>
      <w:r w:rsidRPr="00230DE4">
        <w:rPr>
          <w:rFonts w:ascii="Calibri" w:hAnsi="Calibri" w:cs="Calibri"/>
          <w:b/>
          <w:bCs/>
          <w:color w:val="auto"/>
        </w:rPr>
        <w:t>Capitolul I</w:t>
      </w:r>
      <w:r w:rsidRPr="00230DE4">
        <w:rPr>
          <w:rFonts w:ascii="Calibri" w:hAnsi="Calibri" w:cs="Calibri"/>
          <w:color w:val="auto"/>
        </w:rPr>
        <w:t xml:space="preserve">. </w:t>
      </w:r>
      <w:r w:rsidRPr="00230DE4">
        <w:rPr>
          <w:rFonts w:ascii="Calibri" w:hAnsi="Calibri" w:cs="Calibri"/>
          <w:b/>
          <w:bCs/>
          <w:color w:val="auto"/>
        </w:rPr>
        <w:t>Avocat – subiect al Legii nr. 129/2019.</w:t>
      </w:r>
    </w:p>
    <w:p w14:paraId="2A9A237A" w14:textId="77777777" w:rsidR="000C23AA" w:rsidRPr="00230DE4" w:rsidRDefault="000C23AA" w:rsidP="000C23AA">
      <w:pPr>
        <w:pStyle w:val="Corp"/>
        <w:spacing w:line="276" w:lineRule="auto"/>
        <w:ind w:firstLine="720"/>
        <w:jc w:val="both"/>
        <w:rPr>
          <w:rFonts w:ascii="Calibri" w:hAnsi="Calibri" w:cs="Calibri"/>
          <w:color w:val="auto"/>
        </w:rPr>
      </w:pPr>
      <w:commentRangeStart w:id="34"/>
      <w:r w:rsidRPr="00230DE4">
        <w:rPr>
          <w:rFonts w:ascii="Calibri" w:hAnsi="Calibri" w:cs="Calibri"/>
          <w:b/>
          <w:bCs/>
          <w:color w:val="auto"/>
        </w:rPr>
        <w:t xml:space="preserve">Art. 1. </w:t>
      </w:r>
      <w:r w:rsidRPr="00230DE4">
        <w:rPr>
          <w:rFonts w:ascii="Calibri" w:hAnsi="Calibri" w:cs="Calibri"/>
          <w:color w:val="auto"/>
        </w:rPr>
        <w:t>Avocatul este subiect al Legii atunci când acordă asistență juridică pentru:</w:t>
      </w:r>
      <w:commentRangeEnd w:id="34"/>
      <w:r w:rsidRPr="00230DE4">
        <w:rPr>
          <w:rStyle w:val="CommentReference"/>
          <w:rFonts w:ascii="Calibri" w:hAnsi="Calibri" w:cs="Calibri"/>
          <w:color w:val="auto"/>
        </w:rPr>
        <w:commentReference w:id="34"/>
      </w:r>
    </w:p>
    <w:p w14:paraId="764FD675"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a) întocmirea sau perfectarea de operațiuni pentru clienții lor privind cumpărarea ori vânzarea de bunuri imobile, acțiuni sau părți sociale ori elemente alte fondului de comerț;</w:t>
      </w:r>
    </w:p>
    <w:p w14:paraId="6FE35038"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b) administrarea instrumentelor financiare, valorilor mobiliare sau a altor bunuri ale clienților;</w:t>
      </w:r>
    </w:p>
    <w:p w14:paraId="7E896F26"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c) operațiuni sau tranzacții care implică o sumă de bani sau un transfer de proprietate;</w:t>
      </w:r>
    </w:p>
    <w:p w14:paraId="7979F9EA"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d) constituirea sau administrarea de conturi bancare, de economii ori de instrumente financiare;</w:t>
      </w:r>
    </w:p>
    <w:p w14:paraId="5775829D"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e) organizarea procesului de subscriere a aporturilor necesare constituirii, funcționării sau administrării unei societăți;</w:t>
      </w:r>
    </w:p>
    <w:p w14:paraId="52209D92"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f) constituirea, administrarea ori conducerea unor societăți, organisme de plasament colectiv în valori mobiliare sau a altor structuri similare;</w:t>
      </w:r>
    </w:p>
    <w:p w14:paraId="4849D064"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color w:val="auto"/>
        </w:rPr>
        <w:t>g) crearea, funcționarea sau administrarea de fiducii, societăți, fundații sau structuri similare.</w:t>
      </w:r>
    </w:p>
    <w:p w14:paraId="52CC6AD0" w14:textId="77777777" w:rsidR="000C23AA" w:rsidRPr="00230DE4" w:rsidRDefault="000C23AA" w:rsidP="000C23AA">
      <w:pPr>
        <w:pStyle w:val="Corp"/>
        <w:spacing w:line="276" w:lineRule="auto"/>
        <w:ind w:firstLine="720"/>
        <w:jc w:val="both"/>
        <w:rPr>
          <w:rFonts w:ascii="Calibri" w:hAnsi="Calibri" w:cs="Calibri"/>
          <w:color w:val="auto"/>
        </w:rPr>
      </w:pPr>
      <w:commentRangeStart w:id="35"/>
      <w:r w:rsidRPr="00230DE4">
        <w:rPr>
          <w:rFonts w:ascii="Calibri" w:hAnsi="Calibri" w:cs="Calibri"/>
          <w:b/>
          <w:bCs/>
          <w:color w:val="auto"/>
        </w:rPr>
        <w:t xml:space="preserve">Art. 2. </w:t>
      </w:r>
      <w:r w:rsidRPr="00230DE4">
        <w:rPr>
          <w:rFonts w:ascii="Calibri" w:hAnsi="Calibri" w:cs="Calibri"/>
          <w:color w:val="auto"/>
        </w:rPr>
        <w:t>Avocatul este subiect al Legii atunci când participă în numele sau pentru clientul lui în orice operațiune cu caracter financiar ori vizând bunuri imobile.</w:t>
      </w:r>
      <w:commentRangeEnd w:id="35"/>
      <w:r w:rsidRPr="00230DE4">
        <w:rPr>
          <w:rStyle w:val="CommentReference"/>
          <w:rFonts w:ascii="Calibri" w:hAnsi="Calibri" w:cs="Calibri"/>
          <w:color w:val="auto"/>
        </w:rPr>
        <w:commentReference w:id="35"/>
      </w:r>
    </w:p>
    <w:p w14:paraId="072A8947"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b/>
          <w:bCs/>
          <w:color w:val="auto"/>
        </w:rPr>
        <w:t xml:space="preserve">Art. 3. </w:t>
      </w:r>
      <w:r w:rsidRPr="00230DE4">
        <w:rPr>
          <w:rFonts w:ascii="Calibri" w:hAnsi="Calibri" w:cs="Calibri"/>
          <w:color w:val="auto"/>
        </w:rPr>
        <w:t>Avocatul nu este subiect al Legii atunci când acordă asistență pentru realizarea unor activități distincte de cele menționate la art. 1 și art. 2.</w:t>
      </w:r>
    </w:p>
    <w:p w14:paraId="05E128DC" w14:textId="77777777" w:rsidR="000C23AA" w:rsidRPr="00230DE4" w:rsidRDefault="000C23AA" w:rsidP="000C23AA">
      <w:pPr>
        <w:pStyle w:val="Corp"/>
        <w:spacing w:line="276" w:lineRule="auto"/>
        <w:ind w:firstLine="720"/>
        <w:jc w:val="both"/>
        <w:rPr>
          <w:rFonts w:ascii="Calibri" w:hAnsi="Calibri" w:cs="Calibri"/>
          <w:color w:val="auto"/>
        </w:rPr>
      </w:pPr>
      <w:commentRangeStart w:id="36"/>
      <w:r w:rsidRPr="00230DE4">
        <w:rPr>
          <w:rFonts w:ascii="Calibri" w:hAnsi="Calibri" w:cs="Calibri"/>
          <w:b/>
          <w:bCs/>
          <w:color w:val="auto"/>
        </w:rPr>
        <w:t xml:space="preserve">Art. 4. </w:t>
      </w:r>
      <w:r w:rsidRPr="00230DE4">
        <w:rPr>
          <w:rFonts w:ascii="Calibri" w:hAnsi="Calibri" w:cs="Calibri"/>
          <w:color w:val="auto"/>
        </w:rPr>
        <w:t>Avocatul nu este subiect al Legii atunci când evaluează situația juridică a clientului în cadrul unor proceduri judiciare sau în cazul îndeplinirii obligației de apărare sau de reprezentare a clientului în proceduri judiciare sau în legătură cu aceste proceduri, inclusiv în situația în care acordă consultanță juridică privind inițierea sau evitarea unor proceduri judiciare.</w:t>
      </w:r>
      <w:commentRangeEnd w:id="36"/>
      <w:r w:rsidRPr="00230DE4">
        <w:rPr>
          <w:rStyle w:val="CommentReference"/>
          <w:rFonts w:ascii="Calibri" w:hAnsi="Calibri" w:cs="Calibri"/>
          <w:color w:val="auto"/>
        </w:rPr>
        <w:commentReference w:id="36"/>
      </w:r>
    </w:p>
    <w:p w14:paraId="29E93F03"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b/>
          <w:bCs/>
          <w:color w:val="auto"/>
        </w:rPr>
        <w:lastRenderedPageBreak/>
        <w:t xml:space="preserve">Art. 5. </w:t>
      </w:r>
      <w:r w:rsidRPr="00230DE4">
        <w:rPr>
          <w:rFonts w:ascii="Calibri" w:hAnsi="Calibri" w:cs="Calibri"/>
          <w:color w:val="auto"/>
        </w:rPr>
        <w:t>Avocatul colaborator cu drept de clientelă proprie este subiect al Legii numai în raport de activitatea profesională realizată pentru clientul propriu.</w:t>
      </w:r>
    </w:p>
    <w:p w14:paraId="74232DAE"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b/>
          <w:bCs/>
          <w:color w:val="auto"/>
        </w:rPr>
        <w:t xml:space="preserve">Art. 6. </w:t>
      </w:r>
      <w:r w:rsidRPr="00230DE4">
        <w:rPr>
          <w:rFonts w:ascii="Calibri" w:hAnsi="Calibri" w:cs="Calibri"/>
          <w:color w:val="auto"/>
        </w:rPr>
        <w:t xml:space="preserve">Avocatul colaborator care nu are drept la clientelă proprie sau avocatul salarizat în interiorul profesiei nu este subiect al Legii. </w:t>
      </w:r>
    </w:p>
    <w:p w14:paraId="049C5304" w14:textId="77777777" w:rsidR="000C23AA" w:rsidRPr="00230DE4" w:rsidRDefault="000C23AA" w:rsidP="000C23AA">
      <w:pPr>
        <w:pStyle w:val="Corp"/>
        <w:spacing w:line="276" w:lineRule="auto"/>
        <w:jc w:val="both"/>
        <w:rPr>
          <w:rFonts w:ascii="Calibri" w:hAnsi="Calibri" w:cs="Calibri"/>
          <w:b/>
          <w:bCs/>
          <w:color w:val="auto"/>
        </w:rPr>
      </w:pPr>
    </w:p>
    <w:p w14:paraId="7C297C05"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b/>
          <w:bCs/>
          <w:color w:val="auto"/>
        </w:rPr>
        <w:tab/>
        <w:t>Capitolul II. Procedura de control.</w:t>
      </w:r>
    </w:p>
    <w:p w14:paraId="5E87B52A"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b/>
          <w:bCs/>
          <w:color w:val="auto"/>
        </w:rPr>
        <w:tab/>
        <w:t xml:space="preserve">Art. 7. </w:t>
      </w:r>
      <w:r w:rsidRPr="00230DE4">
        <w:rPr>
          <w:rFonts w:ascii="Calibri" w:hAnsi="Calibri" w:cs="Calibri"/>
          <w:color w:val="auto"/>
        </w:rPr>
        <w:t>Verificarea modului în care avocatul respectă normele sectoriale aprobate de Consiliul U.N.B.R. se realizează de către:</w:t>
      </w:r>
    </w:p>
    <w:p w14:paraId="173DF516"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color w:val="auto"/>
        </w:rPr>
        <w:tab/>
        <w:t>a) membrii Consiliului U.N.B.R. desemnați în acest sens de Comisia Permanentă a U.N.B.R.;</w:t>
      </w:r>
    </w:p>
    <w:p w14:paraId="3EF004E4"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color w:val="auto"/>
        </w:rPr>
        <w:tab/>
        <w:t>b) membrii Consiliului U.N.B.R. desemnați în acest sens de Consiliul U.N.B.R.;</w:t>
      </w:r>
    </w:p>
    <w:p w14:paraId="18F865A3"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color w:val="auto"/>
        </w:rPr>
        <w:tab/>
        <w:t>c) membrii Consiliului Baroului desemnați în acest sens de către Decanul Baroului din care face parte avocatul;</w:t>
      </w:r>
    </w:p>
    <w:p w14:paraId="0C5FEAA5"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color w:val="auto"/>
        </w:rPr>
        <w:tab/>
        <w:t>d) inspectorii financiari ai sistemului C.A.A. care efectuează controlul activității financiare a sistemului de pensii și asigurări sociale pentru Baroul din care face parte avocatul;</w:t>
      </w:r>
    </w:p>
    <w:p w14:paraId="56B979E8"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b/>
          <w:bCs/>
          <w:color w:val="auto"/>
        </w:rPr>
        <w:t xml:space="preserve">Art. 8. </w:t>
      </w:r>
      <w:r w:rsidRPr="00230DE4">
        <w:rPr>
          <w:rFonts w:ascii="Calibri" w:hAnsi="Calibri" w:cs="Calibri"/>
          <w:color w:val="auto"/>
        </w:rPr>
        <w:t>Persoanele cu atribuții de control, cu excepția inspectorilor financiari ai sistemului C.A.A., se pot sesiza la cerere sau din oficiu în scopul verificării modului în care sunt respectate normele sectoriale. Rezultatul verificării se consemnează într-un proces – verbal care se comunică Consiliului Baroului din care face parte avocatul și Consiliului U.N.B.R.</w:t>
      </w:r>
    </w:p>
    <w:p w14:paraId="24869B70" w14:textId="77777777" w:rsidR="000C23AA" w:rsidRPr="00230DE4" w:rsidRDefault="000C23AA" w:rsidP="000C23AA">
      <w:pPr>
        <w:pStyle w:val="Corp"/>
        <w:spacing w:line="276" w:lineRule="auto"/>
        <w:ind w:firstLine="720"/>
        <w:jc w:val="both"/>
        <w:rPr>
          <w:rFonts w:ascii="Calibri" w:hAnsi="Calibri" w:cs="Calibri"/>
          <w:color w:val="auto"/>
        </w:rPr>
      </w:pPr>
      <w:r w:rsidRPr="00230DE4">
        <w:rPr>
          <w:rFonts w:ascii="Calibri" w:hAnsi="Calibri" w:cs="Calibri"/>
          <w:b/>
          <w:bCs/>
          <w:color w:val="auto"/>
        </w:rPr>
        <w:t xml:space="preserve">Art. 9. </w:t>
      </w:r>
      <w:r w:rsidRPr="00230DE4">
        <w:rPr>
          <w:rFonts w:ascii="Calibri" w:hAnsi="Calibri" w:cs="Calibri"/>
          <w:color w:val="auto"/>
        </w:rPr>
        <w:t>În situația în care avocatul are calitatea de membru al Consiliului U.N.B.R. sau de Decan al Baroului, verificarea modului în care sunt respectate normele sectoriale se realizează de către un membru al Consiliului U.N.B.R. desemnat în acest sens de Consiliul U.N.B.R. Rezultatul verificării se consemnează într-un proces – verbal care se comunică exclusiv Consiliului U.N.B.R.</w:t>
      </w:r>
    </w:p>
    <w:p w14:paraId="5B05EF94" w14:textId="77777777" w:rsidR="000C23AA" w:rsidRPr="00230DE4" w:rsidRDefault="000C23AA" w:rsidP="000C23AA">
      <w:pPr>
        <w:pStyle w:val="Corp"/>
        <w:spacing w:line="276" w:lineRule="auto"/>
        <w:ind w:firstLine="720"/>
        <w:jc w:val="both"/>
        <w:rPr>
          <w:rFonts w:ascii="Calibri" w:hAnsi="Calibri" w:cs="Calibri"/>
          <w:b/>
          <w:bCs/>
          <w:color w:val="auto"/>
        </w:rPr>
      </w:pPr>
      <w:r w:rsidRPr="00230DE4">
        <w:rPr>
          <w:rFonts w:ascii="Calibri" w:hAnsi="Calibri" w:cs="Calibri"/>
          <w:b/>
          <w:bCs/>
          <w:color w:val="auto"/>
        </w:rPr>
        <w:t>Art. 10.</w:t>
      </w:r>
      <w:r w:rsidRPr="00230DE4">
        <w:rPr>
          <w:rFonts w:ascii="Calibri" w:hAnsi="Calibri" w:cs="Calibri"/>
          <w:color w:val="auto"/>
        </w:rPr>
        <w:t xml:space="preserve"> Membrii Consiliului U.N.B.R. desemnați în acest sens de Comisia Permanentă a U.N.B.R. pot verifica modul în care sunt respectate normele sectoriale de către orice avocat, cu excepția cazurilor prevăzute de art. 9.</w:t>
      </w:r>
    </w:p>
    <w:p w14:paraId="0DC4DD15"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color w:val="auto"/>
        </w:rPr>
        <w:tab/>
      </w:r>
      <w:r w:rsidRPr="00230DE4">
        <w:rPr>
          <w:rFonts w:ascii="Calibri" w:hAnsi="Calibri" w:cs="Calibri"/>
          <w:b/>
          <w:bCs/>
          <w:color w:val="auto"/>
        </w:rPr>
        <w:t xml:space="preserve">Art. 11. </w:t>
      </w:r>
      <w:r w:rsidRPr="00230DE4">
        <w:rPr>
          <w:rFonts w:ascii="Calibri" w:hAnsi="Calibri" w:cs="Calibri"/>
          <w:color w:val="auto"/>
        </w:rPr>
        <w:t xml:space="preserve">Inspectorii financiari ai sistemului C.A.A. au obligația de a verifica modul în care avocatul respectă normele sectoriale aprobate de Consiliul U.N.B.R. cu ocazia realizării activității de control financiar a sistemului potrivit Statutului Casei de Asigurări a Avocaților, iar în situația în care sunt constatate nerespectări ale normelor sectoriale se va întocmi un proces – verbal de control care se comunică Consiliului Baroului din care face parte avocatul și Consiliului U.N.B.R. Dispozițiile art. 73 alin. (5) din Statutul profesiei de avocat se aplică în mod corespunzător. În situația în care avocatul are calitatea de membru al Consiliului U.N.B.R. sau de Decan al Baroului, procesul – verbal de control se comunică exclusiv Consiliului U.N.B.R. </w:t>
      </w:r>
    </w:p>
    <w:p w14:paraId="546219B6" w14:textId="77777777" w:rsidR="000C23AA" w:rsidRPr="00230DE4" w:rsidRDefault="000C23AA" w:rsidP="000C23AA">
      <w:pPr>
        <w:pStyle w:val="Corp"/>
        <w:spacing w:line="276" w:lineRule="auto"/>
        <w:ind w:firstLine="720"/>
        <w:jc w:val="both"/>
        <w:rPr>
          <w:rFonts w:ascii="Calibri" w:hAnsi="Calibri" w:cs="Calibri"/>
          <w:color w:val="auto"/>
        </w:rPr>
      </w:pPr>
      <w:commentRangeStart w:id="37"/>
      <w:r w:rsidRPr="00230DE4">
        <w:rPr>
          <w:rFonts w:ascii="Calibri" w:hAnsi="Calibri" w:cs="Calibri"/>
          <w:b/>
          <w:bCs/>
          <w:color w:val="auto"/>
        </w:rPr>
        <w:t xml:space="preserve">Art. 12. </w:t>
      </w:r>
      <w:r w:rsidRPr="00230DE4">
        <w:rPr>
          <w:rFonts w:ascii="Calibri" w:hAnsi="Calibri" w:cs="Calibri"/>
          <w:color w:val="auto"/>
        </w:rPr>
        <w:t>Trimestrial U.N.B.R. comunică către O.N.P.C.S.B. un raport ce va conține: numărul controalelor efectuate, tipul încălcărilor constatate în urma controalelor, acțiunile disciplinare exercitate potrivit legii și sancțiunile aplicate.</w:t>
      </w:r>
      <w:commentRangeEnd w:id="37"/>
      <w:r w:rsidRPr="00230DE4">
        <w:rPr>
          <w:rStyle w:val="CommentReference"/>
          <w:rFonts w:ascii="Calibri" w:hAnsi="Calibri" w:cs="Calibri"/>
          <w:color w:val="auto"/>
        </w:rPr>
        <w:commentReference w:id="37"/>
      </w:r>
    </w:p>
    <w:p w14:paraId="528145F7"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color w:val="auto"/>
        </w:rPr>
        <w:tab/>
      </w:r>
      <w:r w:rsidRPr="00230DE4">
        <w:rPr>
          <w:rFonts w:ascii="Calibri" w:hAnsi="Calibri" w:cs="Calibri"/>
          <w:b/>
          <w:bCs/>
          <w:color w:val="auto"/>
        </w:rPr>
        <w:t xml:space="preserve">Art. 13. </w:t>
      </w:r>
      <w:r w:rsidRPr="00230DE4">
        <w:rPr>
          <w:rFonts w:ascii="Calibri" w:hAnsi="Calibri" w:cs="Calibri"/>
          <w:color w:val="auto"/>
        </w:rPr>
        <w:t>Decanii barourilor sunt obligați ca în termen de cel mult 10 (zece) zile calendaristice de la solicitare să comunice Președintelui U.N.B.R. numele consilierilor desemnați pentru verificarea modului în care sunt respectate normele sectoriale. Orice modificare cu privire la consilierii desemnați va fi comunicată în termen de 5 zile calendaristice de la data adoptării modificării.</w:t>
      </w:r>
    </w:p>
    <w:p w14:paraId="4465EF52" w14:textId="228BF8E6"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color w:val="auto"/>
        </w:rPr>
        <w:lastRenderedPageBreak/>
        <w:tab/>
      </w:r>
      <w:r w:rsidRPr="00230DE4">
        <w:rPr>
          <w:rFonts w:ascii="Calibri" w:hAnsi="Calibri" w:cs="Calibri"/>
          <w:b/>
          <w:bCs/>
          <w:color w:val="auto"/>
        </w:rPr>
        <w:t xml:space="preserve">Art. 14. </w:t>
      </w:r>
      <w:r w:rsidRPr="00230DE4">
        <w:rPr>
          <w:rFonts w:ascii="Calibri" w:hAnsi="Calibri" w:cs="Calibri"/>
          <w:color w:val="auto"/>
          <w:shd w:val="clear" w:color="auto" w:fill="FFFFFF"/>
        </w:rPr>
        <w:t xml:space="preserve">Avocatul are </w:t>
      </w:r>
      <w:r w:rsidR="00EF4239" w:rsidRPr="00230DE4">
        <w:rPr>
          <w:rFonts w:ascii="Calibri" w:hAnsi="Calibri" w:cs="Calibri"/>
          <w:color w:val="auto"/>
          <w:shd w:val="clear" w:color="auto" w:fill="FFFFFF"/>
        </w:rPr>
        <w:t>obligația</w:t>
      </w:r>
      <w:r w:rsidRPr="00230DE4">
        <w:rPr>
          <w:rFonts w:ascii="Calibri" w:hAnsi="Calibri" w:cs="Calibri"/>
          <w:color w:val="auto"/>
          <w:shd w:val="clear" w:color="auto" w:fill="FFFFFF"/>
        </w:rPr>
        <w:t xml:space="preserve"> să pună la </w:t>
      </w:r>
      <w:r w:rsidR="00EF4239" w:rsidRPr="00230DE4">
        <w:rPr>
          <w:rFonts w:ascii="Calibri" w:hAnsi="Calibri" w:cs="Calibri"/>
          <w:color w:val="auto"/>
          <w:shd w:val="clear" w:color="auto" w:fill="FFFFFF"/>
        </w:rPr>
        <w:t>dispoziția</w:t>
      </w:r>
      <w:r w:rsidRPr="00230DE4">
        <w:rPr>
          <w:rFonts w:ascii="Calibri" w:hAnsi="Calibri" w:cs="Calibri"/>
          <w:color w:val="auto"/>
          <w:shd w:val="clear" w:color="auto" w:fill="FFFFFF"/>
        </w:rPr>
        <w:t xml:space="preserve"> persoanelor cu atribuții de control toate datele şi documentele solicitate în termenul stabilit de persoana care efectuează controlul care nu poate fi mai scurt de 10 (zece) zile calendaristice calculat de la data comunicării prin e-mail la adresa de corespondență care este înregistrată în </w:t>
      </w:r>
      <w:r w:rsidRPr="00230DE4">
        <w:rPr>
          <w:rFonts w:ascii="Calibri" w:hAnsi="Calibri" w:cs="Calibri"/>
          <w:i/>
          <w:iCs/>
          <w:color w:val="auto"/>
          <w:shd w:val="clear" w:color="auto" w:fill="FFFFFF"/>
        </w:rPr>
        <w:t>portalul ifep.ro</w:t>
      </w:r>
      <w:r w:rsidRPr="00230DE4">
        <w:rPr>
          <w:rFonts w:ascii="Calibri" w:hAnsi="Calibri" w:cs="Calibri"/>
          <w:color w:val="auto"/>
          <w:shd w:val="clear" w:color="auto" w:fill="FFFFFF"/>
        </w:rPr>
        <w:t>. Cererea de punere la dispoziție a datelor și a documentelor solicitate se consideră comunicată în ziua imediat următoare celei în care figurează ca fiind expediată corespondența prin e-mail. Refuzul sau neîndeplinirea culpabilă a acestei obligații constituie abatere disciplinară gravă și se sancționează potrivit Statutului profesiei de avocat.</w:t>
      </w:r>
    </w:p>
    <w:p w14:paraId="159AE76C" w14:textId="77777777" w:rsidR="000C23AA" w:rsidRPr="00230DE4" w:rsidRDefault="000C23AA" w:rsidP="000C23AA">
      <w:pPr>
        <w:pStyle w:val="Corp"/>
        <w:spacing w:line="276" w:lineRule="auto"/>
        <w:jc w:val="both"/>
        <w:rPr>
          <w:rFonts w:ascii="Calibri" w:hAnsi="Calibri" w:cs="Calibri"/>
          <w:color w:val="auto"/>
        </w:rPr>
      </w:pPr>
      <w:r w:rsidRPr="00230DE4">
        <w:rPr>
          <w:rFonts w:ascii="Calibri" w:hAnsi="Calibri" w:cs="Calibri"/>
          <w:b/>
          <w:bCs/>
          <w:color w:val="auto"/>
        </w:rPr>
        <w:tab/>
        <w:t>Art. 15.</w:t>
      </w:r>
      <w:r w:rsidRPr="00230DE4">
        <w:rPr>
          <w:rFonts w:ascii="Calibri" w:hAnsi="Calibri" w:cs="Calibri"/>
          <w:color w:val="auto"/>
        </w:rPr>
        <w:t xml:space="preserve"> În situația în care sunt constatate abateri disciplinare se aplică în mod corespunzător dispozițiile din Legea nr. 51/1995 pentru organizarea și exercitarea profesiei de avocat, republicată și Statutul profesiei de avocat.</w:t>
      </w:r>
    </w:p>
    <w:p w14:paraId="5263C6D2" w14:textId="77777777" w:rsidR="000C23AA" w:rsidRPr="00230DE4" w:rsidRDefault="000C23AA" w:rsidP="000C23AA">
      <w:pPr>
        <w:spacing w:line="276" w:lineRule="auto"/>
        <w:jc w:val="both"/>
        <w:rPr>
          <w:rFonts w:ascii="Calibri" w:hAnsi="Calibri" w:cs="Calibri"/>
          <w:b/>
          <w:bCs/>
          <w:iCs/>
          <w:sz w:val="32"/>
          <w:szCs w:val="32"/>
        </w:rPr>
      </w:pPr>
    </w:p>
    <w:p w14:paraId="6F925620" w14:textId="77777777" w:rsidR="00494CC7" w:rsidRPr="00230DE4" w:rsidRDefault="00494CC7" w:rsidP="00494CC7">
      <w:pPr>
        <w:spacing w:line="276" w:lineRule="auto"/>
        <w:jc w:val="both"/>
        <w:rPr>
          <w:rFonts w:ascii="Calibri" w:hAnsi="Calibri" w:cs="Calibri"/>
          <w:b/>
          <w:bCs/>
          <w:iCs/>
          <w:sz w:val="32"/>
          <w:szCs w:val="32"/>
        </w:rPr>
      </w:pPr>
    </w:p>
    <w:p w14:paraId="4973DCD9" w14:textId="029B5DB7" w:rsidR="008A3E92" w:rsidRPr="00230DE4" w:rsidRDefault="008A3E92" w:rsidP="00FA2C9D">
      <w:pPr>
        <w:spacing w:line="276" w:lineRule="auto"/>
        <w:ind w:right="29"/>
        <w:jc w:val="center"/>
        <w:rPr>
          <w:rFonts w:ascii="Calibri" w:hAnsi="Calibri" w:cs="Calibri"/>
          <w:b/>
          <w:sz w:val="32"/>
          <w:szCs w:val="32"/>
        </w:rPr>
      </w:pPr>
    </w:p>
    <w:sectPr w:rsidR="008A3E92" w:rsidRPr="00230DE4" w:rsidSect="00256FBC">
      <w:pgSz w:w="16834" w:h="11909" w:orient="landscape" w:code="9"/>
      <w:pgMar w:top="993" w:right="1276" w:bottom="992" w:left="357" w:header="709" w:footer="53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UNBR" w:date="2023-11-16T12:41:00Z" w:initials="UNBR">
    <w:p w14:paraId="1B9267D1" w14:textId="77777777" w:rsidR="00494CC7" w:rsidRDefault="00494CC7" w:rsidP="00494CC7">
      <w:r>
        <w:rPr>
          <w:rStyle w:val="CommentReference"/>
        </w:rPr>
        <w:annotationRef/>
      </w:r>
      <w:r>
        <w:rPr>
          <w:sz w:val="20"/>
          <w:szCs w:val="20"/>
        </w:rPr>
        <w:t>art. 5 alin. (1) lit. f) din Legea nr. 129/2019.</w:t>
      </w:r>
    </w:p>
  </w:comment>
  <w:comment w:id="4" w:author="UNBR" w:date="2023-11-16T12:42:00Z" w:initials="UNBR">
    <w:p w14:paraId="5AA59052" w14:textId="77777777" w:rsidR="00494CC7" w:rsidRDefault="00494CC7" w:rsidP="00494CC7">
      <w:r>
        <w:rPr>
          <w:rStyle w:val="CommentReference"/>
        </w:rPr>
        <w:annotationRef/>
      </w:r>
      <w:r>
        <w:rPr>
          <w:sz w:val="20"/>
          <w:szCs w:val="20"/>
        </w:rPr>
        <w:t>art. 5 alin. (1) lit. f) din Legea nr. 129/2019.</w:t>
      </w:r>
    </w:p>
  </w:comment>
  <w:comment w:id="5" w:author="UNBR" w:date="2023-11-16T12:42:00Z" w:initials="UNBR">
    <w:p w14:paraId="1C9E7A00" w14:textId="77777777" w:rsidR="00494CC7" w:rsidRDefault="00494CC7" w:rsidP="00494CC7">
      <w:r>
        <w:rPr>
          <w:rStyle w:val="CommentReference"/>
        </w:rPr>
        <w:annotationRef/>
      </w:r>
      <w:r>
        <w:rPr>
          <w:sz w:val="20"/>
          <w:szCs w:val="20"/>
        </w:rPr>
        <w:t>art. 5 alin. (1) lit. f) coroborat cu art. 9 alin. (3) din Legea nr. 129/2019.</w:t>
      </w:r>
    </w:p>
  </w:comment>
  <w:comment w:id="6" w:author="UNBR" w:date="2024-06-06T22:05:00Z" w:initials="UNBR">
    <w:p w14:paraId="06BB0E2C" w14:textId="77777777" w:rsidR="00494CC7" w:rsidRDefault="00494CC7" w:rsidP="00494CC7">
      <w:r>
        <w:rPr>
          <w:rStyle w:val="CommentReference"/>
        </w:rPr>
        <w:annotationRef/>
      </w:r>
      <w:r>
        <w:rPr>
          <w:color w:val="000000"/>
          <w:sz w:val="20"/>
          <w:szCs w:val="20"/>
        </w:rPr>
        <w:t>art. 24 alin. 10 din Legea nr. 129/2019.</w:t>
      </w:r>
    </w:p>
  </w:comment>
  <w:comment w:id="7" w:author="UNBR" w:date="2023-11-16T12:43:00Z" w:initials="UNBR">
    <w:p w14:paraId="511B5BFD" w14:textId="77777777" w:rsidR="00494CC7" w:rsidRDefault="00494CC7" w:rsidP="00494CC7">
      <w:r>
        <w:rPr>
          <w:rStyle w:val="CommentReference"/>
        </w:rPr>
        <w:annotationRef/>
      </w:r>
      <w:r>
        <w:rPr>
          <w:sz w:val="20"/>
          <w:szCs w:val="20"/>
        </w:rPr>
        <w:t>Raportul O.N.P.C.S.B. privind evaluarea națională a riscurilor de spălare a banilor și de finanțare a terorismului.</w:t>
      </w:r>
    </w:p>
  </w:comment>
  <w:comment w:id="8" w:author="UNBR" w:date="2023-11-16T12:44:00Z" w:initials="UNBR">
    <w:p w14:paraId="21A4E6FB" w14:textId="77777777" w:rsidR="00494CC7" w:rsidRDefault="00494CC7" w:rsidP="00494CC7">
      <w:r>
        <w:rPr>
          <w:rStyle w:val="CommentReference"/>
        </w:rPr>
        <w:annotationRef/>
      </w:r>
      <w:r>
        <w:rPr>
          <w:sz w:val="20"/>
          <w:szCs w:val="20"/>
        </w:rPr>
        <w:t>art. 11 alin. (6) și (7), art. 16 alin. (2), art. 17 alin. (14) și art. 25 din Legea nr. 129/2019 și art. 12-14 din Ordinul Președintelui O.N.P.C.S.B. nr. 37/2021.</w:t>
      </w:r>
    </w:p>
  </w:comment>
  <w:comment w:id="9" w:author="UNBR" w:date="2024-10-29T15:29:00Z" w:initials="UNBR">
    <w:p w14:paraId="4E3DFE81" w14:textId="77777777" w:rsidR="00494CC7" w:rsidRDefault="00494CC7" w:rsidP="00494CC7">
      <w:r>
        <w:rPr>
          <w:rStyle w:val="CommentReference"/>
        </w:rPr>
        <w:annotationRef/>
      </w:r>
      <w:r>
        <w:rPr>
          <w:color w:val="000000"/>
          <w:sz w:val="20"/>
          <w:szCs w:val="20"/>
        </w:rPr>
        <w:t>art. 25 alin. (1), (2) și (3) din Legea nr. 129/2019.</w:t>
      </w:r>
    </w:p>
  </w:comment>
  <w:comment w:id="10" w:author="UNBR" w:date="2023-11-16T12:44:00Z" w:initials="UNBR">
    <w:p w14:paraId="3B59741A" w14:textId="77777777" w:rsidR="00494CC7" w:rsidRDefault="00494CC7" w:rsidP="00494CC7">
      <w:r>
        <w:rPr>
          <w:rStyle w:val="CommentReference"/>
        </w:rPr>
        <w:annotationRef/>
      </w:r>
      <w:r>
        <w:rPr>
          <w:sz w:val="20"/>
          <w:szCs w:val="20"/>
        </w:rPr>
        <w:t>art. 10, art. 11 alin. (1) – (5) și (8) și art. 12,13, 14, 15, 16, 17 și 17 indice 1 din Legea nr. 129/2019 și art. 15, 16, 17 si 18  din Ordinul Președintelui O.N.P.C.S.B. nr. 37/2021.</w:t>
      </w:r>
    </w:p>
  </w:comment>
  <w:comment w:id="11" w:author="UNBR" w:date="2023-11-16T12:44:00Z" w:initials="UNBR">
    <w:p w14:paraId="71C7F018" w14:textId="77777777" w:rsidR="00494CC7" w:rsidRDefault="00494CC7" w:rsidP="00494CC7">
      <w:r>
        <w:rPr>
          <w:rStyle w:val="CommentReference"/>
        </w:rPr>
        <w:annotationRef/>
      </w:r>
      <w:r>
        <w:rPr>
          <w:sz w:val="20"/>
          <w:szCs w:val="20"/>
        </w:rPr>
        <w:t>art. 17 și 17 indice 1 din Legea nr. 129/2019 și art. 15, 16, 17 si 18 din Ordinul Președintelui O.N.P.C.S.B. nr. 37/2021.</w:t>
      </w:r>
    </w:p>
  </w:comment>
  <w:comment w:id="12" w:author="UNBR" w:date="2023-11-16T12:45:00Z" w:initials="UNBR">
    <w:p w14:paraId="1E52C314" w14:textId="77777777" w:rsidR="00494CC7" w:rsidRDefault="00494CC7" w:rsidP="00494CC7">
      <w:r>
        <w:rPr>
          <w:rStyle w:val="CommentReference"/>
        </w:rPr>
        <w:annotationRef/>
      </w:r>
      <w:r>
        <w:rPr>
          <w:sz w:val="20"/>
          <w:szCs w:val="20"/>
        </w:rPr>
        <w:t>art. 21 alin. (1),(4), art. 22 din Legea nr. 129/2019 și art. 22 alin. (1) din Ordinul Președintelui O.N.P.C.S.B. nr. 37/2021.</w:t>
      </w:r>
    </w:p>
  </w:comment>
  <w:comment w:id="13" w:author="UNBR" w:date="2024-11-17T17:18:00Z" w:initials="UNBR">
    <w:p w14:paraId="6812A191" w14:textId="77777777" w:rsidR="00494CC7" w:rsidRDefault="00494CC7" w:rsidP="00494CC7">
      <w:r>
        <w:rPr>
          <w:rStyle w:val="CommentReference"/>
        </w:rPr>
        <w:annotationRef/>
      </w:r>
      <w:r>
        <w:rPr>
          <w:color w:val="000000"/>
          <w:sz w:val="20"/>
          <w:szCs w:val="20"/>
        </w:rPr>
        <w:t>art. 24 alin. (1) din Legea nr. 129/2019.</w:t>
      </w:r>
    </w:p>
  </w:comment>
  <w:comment w:id="14" w:author="UNBR" w:date="2023-11-16T12:45:00Z" w:initials="UNBR">
    <w:p w14:paraId="2DCD2692" w14:textId="77777777" w:rsidR="00494CC7" w:rsidRDefault="00494CC7" w:rsidP="00494CC7">
      <w:r>
        <w:rPr>
          <w:rStyle w:val="CommentReference"/>
        </w:rPr>
        <w:annotationRef/>
      </w:r>
      <w:r>
        <w:rPr>
          <w:sz w:val="20"/>
          <w:szCs w:val="20"/>
        </w:rPr>
        <w:t>art. 11 alin. (1) lit. d) și art. 14 din Legea nr. 129/2019.</w:t>
      </w:r>
    </w:p>
  </w:comment>
  <w:comment w:id="15" w:author="UNBR" w:date="2023-11-16T12:45:00Z" w:initials="UNBR">
    <w:p w14:paraId="324D8249" w14:textId="77777777" w:rsidR="00494CC7" w:rsidRDefault="00494CC7" w:rsidP="00494CC7">
      <w:r>
        <w:rPr>
          <w:rStyle w:val="CommentReference"/>
        </w:rPr>
        <w:annotationRef/>
      </w:r>
      <w:r>
        <w:rPr>
          <w:sz w:val="20"/>
          <w:szCs w:val="20"/>
        </w:rPr>
        <w:t>art. 14 din Legea nr. 129/2019.</w:t>
      </w:r>
    </w:p>
  </w:comment>
  <w:comment w:id="16" w:author="UNBR" w:date="2023-11-16T12:46:00Z" w:initials="UNBR">
    <w:p w14:paraId="628BFCCA" w14:textId="77777777" w:rsidR="00494CC7" w:rsidRDefault="00494CC7" w:rsidP="00494CC7">
      <w:r>
        <w:rPr>
          <w:rStyle w:val="CommentReference"/>
        </w:rPr>
        <w:annotationRef/>
      </w:r>
      <w:r>
        <w:rPr>
          <w:sz w:val="20"/>
          <w:szCs w:val="20"/>
        </w:rPr>
        <w:t>Raportul O.N.P.C.S.B. privind evaluarea națională a riscurilor de spălare a banilor și de finanțare a terorismului.</w:t>
      </w:r>
    </w:p>
  </w:comment>
  <w:comment w:id="17" w:author="UNBR" w:date="2023-11-16T12:46:00Z" w:initials="UNBR">
    <w:p w14:paraId="2F6DBC28" w14:textId="77777777" w:rsidR="00494CC7" w:rsidRDefault="00494CC7" w:rsidP="00494CC7">
      <w:r>
        <w:rPr>
          <w:rStyle w:val="CommentReference"/>
        </w:rPr>
        <w:annotationRef/>
      </w:r>
      <w:r>
        <w:rPr>
          <w:sz w:val="20"/>
          <w:szCs w:val="20"/>
        </w:rPr>
        <w:t>Art. 17 alin. (4) și (5) din Legea nr. 129/2019.</w:t>
      </w:r>
      <w:r>
        <w:rPr>
          <w:sz w:val="20"/>
          <w:szCs w:val="20"/>
        </w:rPr>
        <w:cr/>
      </w:r>
      <w:r>
        <w:rPr>
          <w:sz w:val="20"/>
          <w:szCs w:val="20"/>
        </w:rPr>
        <w:cr/>
        <w:t>https://www.unbr.ro/publicam-liste-informative-in-vederea-prevenirii-si-combaterii-finantarii-terorismului/</w:t>
      </w:r>
    </w:p>
  </w:comment>
  <w:comment w:id="18" w:author="UNBR" w:date="2023-11-16T12:49:00Z" w:initials="UNBR">
    <w:p w14:paraId="1FD81E27" w14:textId="77777777" w:rsidR="00494CC7" w:rsidRDefault="00494CC7" w:rsidP="00494CC7">
      <w:r>
        <w:rPr>
          <w:rStyle w:val="CommentReference"/>
        </w:rPr>
        <w:annotationRef/>
      </w:r>
      <w:r>
        <w:rPr>
          <w:color w:val="000000"/>
          <w:sz w:val="20"/>
          <w:szCs w:val="20"/>
        </w:rPr>
        <w:t>O.U.G. nr. 202/2008, H.G. nr. 603/2011, art. 17 alin. (4) și (5) din Legea nr. 129/2019.</w:t>
      </w:r>
    </w:p>
    <w:p w14:paraId="41098CEB" w14:textId="77777777" w:rsidR="00494CC7" w:rsidRDefault="00494CC7" w:rsidP="00494CC7"/>
    <w:p w14:paraId="266FE98A" w14:textId="77777777" w:rsidR="00494CC7" w:rsidRDefault="00494CC7" w:rsidP="00494CC7">
      <w:r>
        <w:rPr>
          <w:color w:val="000000"/>
          <w:sz w:val="20"/>
          <w:szCs w:val="20"/>
        </w:rPr>
        <w:t>https://www.unbr.ro/publicam-liste-informative-in-vederea-prevenirii-si-combaterii-finantarii-terorismului/</w:t>
      </w:r>
    </w:p>
  </w:comment>
  <w:comment w:id="19" w:author="UNBR" w:date="2023-11-16T12:50:00Z" w:initials="UNBR">
    <w:p w14:paraId="2E5F28A1" w14:textId="77777777" w:rsidR="00494CC7" w:rsidRDefault="00494CC7" w:rsidP="00494CC7">
      <w:r>
        <w:rPr>
          <w:rStyle w:val="CommentReference"/>
        </w:rPr>
        <w:annotationRef/>
      </w:r>
      <w:r>
        <w:rPr>
          <w:sz w:val="20"/>
          <w:szCs w:val="20"/>
        </w:rPr>
        <w:t>art. 11 alin. (9) coroborat cu art. 33 alin. (5) din Legea nr. 129/2019.</w:t>
      </w:r>
    </w:p>
  </w:comment>
  <w:comment w:id="20" w:author="UNBR" w:date="2023-11-16T12:50:00Z" w:initials="UNBR">
    <w:p w14:paraId="13A665A2" w14:textId="77777777" w:rsidR="00494CC7" w:rsidRDefault="00494CC7" w:rsidP="00494CC7">
      <w:r>
        <w:rPr>
          <w:rStyle w:val="CommentReference"/>
        </w:rPr>
        <w:annotationRef/>
      </w:r>
      <w:r>
        <w:rPr>
          <w:sz w:val="20"/>
          <w:szCs w:val="20"/>
        </w:rPr>
        <w:t>art. 23 alin. (1) și (4) din Legea nr. 129/2019.</w:t>
      </w:r>
    </w:p>
  </w:comment>
  <w:comment w:id="21" w:author="UNBR" w:date="2024-11-17T17:24:00Z" w:initials="UNBR">
    <w:p w14:paraId="7195B3B7" w14:textId="77777777" w:rsidR="00494CC7" w:rsidRDefault="00494CC7" w:rsidP="00494CC7">
      <w:r>
        <w:rPr>
          <w:rStyle w:val="CommentReference"/>
        </w:rPr>
        <w:annotationRef/>
      </w:r>
      <w:r>
        <w:rPr>
          <w:sz w:val="20"/>
          <w:szCs w:val="20"/>
        </w:rPr>
        <w:t>art. 24 alin. (1) lit. e) din Legea nr. 129/2019 coroborat cu art. 10 din Ordinul Președintelui O.N.P.C.S.B. nr. 37/2021.</w:t>
      </w:r>
    </w:p>
  </w:comment>
  <w:comment w:id="22" w:author="UNBR" w:date="2024-11-17T17:15:00Z" w:initials="UNBR">
    <w:p w14:paraId="171C78B5" w14:textId="77777777" w:rsidR="00494CC7" w:rsidRDefault="00494CC7" w:rsidP="00494CC7">
      <w:r>
        <w:rPr>
          <w:rStyle w:val="CommentReference"/>
        </w:rPr>
        <w:annotationRef/>
      </w:r>
      <w:r>
        <w:rPr>
          <w:color w:val="000000"/>
          <w:sz w:val="20"/>
          <w:szCs w:val="20"/>
        </w:rPr>
        <w:t>art. 24 alin. (4) din Legea nr. 129/2019.</w:t>
      </w:r>
    </w:p>
  </w:comment>
  <w:comment w:id="23" w:author="UNBR" w:date="2024-11-17T17:43:00Z" w:initials="UNBR">
    <w:p w14:paraId="3A4F69BB" w14:textId="77777777" w:rsidR="00494CC7" w:rsidRDefault="00494CC7" w:rsidP="00494CC7">
      <w:r>
        <w:rPr>
          <w:rStyle w:val="CommentReference"/>
        </w:rPr>
        <w:annotationRef/>
      </w:r>
      <w:r>
        <w:rPr>
          <w:color w:val="000000"/>
          <w:sz w:val="20"/>
          <w:szCs w:val="20"/>
        </w:rPr>
        <w:t>Art. 11 alin. (1) din Ordinul Președintelui O.N.P.C.S.B. nr. 37/2021.</w:t>
      </w:r>
    </w:p>
  </w:comment>
  <w:comment w:id="24" w:author="UNBR" w:date="2023-11-16T12:52:00Z" w:initials="UNBR">
    <w:p w14:paraId="13980AB2" w14:textId="77777777" w:rsidR="00494CC7" w:rsidRDefault="00494CC7" w:rsidP="00494CC7">
      <w:r>
        <w:rPr>
          <w:rStyle w:val="CommentReference"/>
        </w:rPr>
        <w:annotationRef/>
      </w:r>
      <w:r>
        <w:rPr>
          <w:sz w:val="20"/>
          <w:szCs w:val="20"/>
        </w:rPr>
        <w:t>art. 24 alin. (2) din Legea nr. 129/2019 coroborat cu art. 9 din Ordinul Președintelui O.N.P.C.S.B. nr. 37/2021.</w:t>
      </w:r>
    </w:p>
  </w:comment>
  <w:comment w:id="25" w:author="UNBR" w:date="2023-11-16T12:52:00Z" w:initials="UNBR">
    <w:p w14:paraId="4ADF0762" w14:textId="77777777" w:rsidR="00494CC7" w:rsidRDefault="00494CC7" w:rsidP="00494CC7">
      <w:r>
        <w:rPr>
          <w:rStyle w:val="CommentReference"/>
        </w:rPr>
        <w:annotationRef/>
      </w:r>
      <w:r>
        <w:rPr>
          <w:sz w:val="20"/>
          <w:szCs w:val="20"/>
        </w:rPr>
        <w:t>art. 9 alin. 4 din Legea nr. 129/2019 și parag. 9 din Directiva (UE) 2015/849 a Parlamentului European și a Consiliului.</w:t>
      </w:r>
    </w:p>
  </w:comment>
  <w:comment w:id="26" w:author="UNBR" w:date="2023-11-16T12:52:00Z" w:initials="UNBR">
    <w:p w14:paraId="692B27B2" w14:textId="77777777" w:rsidR="00494CC7" w:rsidRDefault="00494CC7" w:rsidP="00494CC7">
      <w:r>
        <w:rPr>
          <w:rStyle w:val="CommentReference"/>
        </w:rPr>
        <w:annotationRef/>
      </w:r>
      <w:r>
        <w:rPr>
          <w:sz w:val="20"/>
          <w:szCs w:val="20"/>
        </w:rPr>
        <w:t>art. 31 alin. (3) din Legea nr. 129/2019.</w:t>
      </w:r>
    </w:p>
  </w:comment>
  <w:comment w:id="27" w:author="UNBR" w:date="2023-11-16T12:52:00Z" w:initials="UNBR">
    <w:p w14:paraId="379EC37D" w14:textId="77777777" w:rsidR="00494CC7" w:rsidRDefault="00494CC7" w:rsidP="00494CC7">
      <w:r>
        <w:rPr>
          <w:rStyle w:val="CommentReference"/>
        </w:rPr>
        <w:annotationRef/>
      </w:r>
      <w:r>
        <w:rPr>
          <w:sz w:val="20"/>
          <w:szCs w:val="20"/>
        </w:rPr>
        <w:t>art. 8 alin. (1), art. 9 alin. (1) - (5), art. 33 alin. 5 din Legea nr. 129/2019.</w:t>
      </w:r>
    </w:p>
  </w:comment>
  <w:comment w:id="28" w:author="UNBR" w:date="2024-01-25T09:44:00Z" w:initials="UNBR">
    <w:p w14:paraId="60BE547F" w14:textId="77777777" w:rsidR="00494CC7" w:rsidRDefault="00494CC7" w:rsidP="00494CC7">
      <w:r>
        <w:rPr>
          <w:rStyle w:val="CommentReference"/>
        </w:rPr>
        <w:annotationRef/>
      </w:r>
      <w:r>
        <w:rPr>
          <w:sz w:val="20"/>
          <w:szCs w:val="20"/>
        </w:rPr>
        <w:t>art. 7 alin. (1), art. 9 alin. (1) - (5), art. 33 alin. 5 din Legea nr. 129/2019.</w:t>
      </w:r>
    </w:p>
  </w:comment>
  <w:comment w:id="29" w:author="UNBR" w:date="2023-11-16T12:53:00Z" w:initials="UNBR">
    <w:p w14:paraId="00BC6DEC" w14:textId="77777777" w:rsidR="00494CC7" w:rsidRDefault="00494CC7" w:rsidP="00494CC7">
      <w:r>
        <w:rPr>
          <w:rStyle w:val="CommentReference"/>
        </w:rPr>
        <w:annotationRef/>
      </w:r>
      <w:r>
        <w:rPr>
          <w:sz w:val="20"/>
          <w:szCs w:val="20"/>
        </w:rPr>
        <w:t>art. 9 alin. (5) din Legea nr. 129/2019 și art. 21 alin. (3) din Ordinul Președintelui O.N.P.C.S.B. nr. 37/2021</w:t>
      </w:r>
    </w:p>
  </w:comment>
  <w:comment w:id="30" w:author="UNBR" w:date="2023-11-16T12:53:00Z" w:initials="UNBR">
    <w:p w14:paraId="57D1ABC8" w14:textId="77777777" w:rsidR="00494CC7" w:rsidRDefault="00494CC7" w:rsidP="00494CC7">
      <w:r>
        <w:rPr>
          <w:rStyle w:val="CommentReference"/>
        </w:rPr>
        <w:annotationRef/>
      </w:r>
      <w:r>
        <w:rPr>
          <w:sz w:val="20"/>
          <w:szCs w:val="20"/>
        </w:rPr>
        <w:t>art. 33 alin. (1) - (5) din Legea nr. 129/2019 și art. 23 din Ordinul Președintelui O.N.P.C.S.B. nr. 37/2021.</w:t>
      </w:r>
    </w:p>
  </w:comment>
  <w:comment w:id="31" w:author="UNBR" w:date="2023-11-16T12:54:00Z" w:initials="UNBR">
    <w:p w14:paraId="21B80894" w14:textId="77777777" w:rsidR="00494CC7" w:rsidRDefault="00494CC7" w:rsidP="00494CC7">
      <w:r>
        <w:rPr>
          <w:rStyle w:val="CommentReference"/>
        </w:rPr>
        <w:annotationRef/>
      </w:r>
      <w:r>
        <w:rPr>
          <w:sz w:val="20"/>
          <w:szCs w:val="20"/>
        </w:rPr>
        <w:t>art. 26 alin. (4) și (5), art. 33 alin. (1) - (5), art. 39 alin. (3) lit. m), n), o) din Legea nr. 129/2019 și art. 23 din Ordinul Președintelui O.N.P.C.S.B. nr. 37/2021.</w:t>
      </w:r>
    </w:p>
  </w:comment>
  <w:comment w:id="32" w:author="UNBR" w:date="2023-11-16T12:54:00Z" w:initials="UNBR">
    <w:p w14:paraId="2C2DCA71" w14:textId="77777777" w:rsidR="00494CC7" w:rsidRDefault="00494CC7" w:rsidP="00494CC7">
      <w:r>
        <w:rPr>
          <w:rStyle w:val="CommentReference"/>
        </w:rPr>
        <w:annotationRef/>
      </w:r>
      <w:r>
        <w:rPr>
          <w:sz w:val="20"/>
          <w:szCs w:val="20"/>
        </w:rPr>
        <w:t>art. 26 alin. (1) lit. d) și e), art. 33 alin. (5) și art. 39 alin. (3) lit. i) din Legea nr. 129/2019 + art. 4 alin. (2) lit. c) din Ordinul Președintelui O.N.P.C.S.B. nr. 37/2021.</w:t>
      </w:r>
    </w:p>
  </w:comment>
  <w:comment w:id="33" w:author="UNBR" w:date="2023-11-16T12:54:00Z" w:initials="UNBR">
    <w:p w14:paraId="73BC1F20" w14:textId="77777777" w:rsidR="00494CC7" w:rsidRDefault="00494CC7" w:rsidP="00494CC7">
      <w:r>
        <w:rPr>
          <w:rStyle w:val="CommentReference"/>
        </w:rPr>
        <w:annotationRef/>
      </w:r>
      <w:r>
        <w:rPr>
          <w:sz w:val="20"/>
          <w:szCs w:val="20"/>
        </w:rPr>
        <w:t>art. 33 alin. (5) din Legea nr. 129/2019.</w:t>
      </w:r>
    </w:p>
  </w:comment>
  <w:comment w:id="34" w:author="UNBR" w:date="2023-11-16T12:39:00Z" w:initials="UNBR">
    <w:p w14:paraId="72ACCA69" w14:textId="77777777" w:rsidR="000C23AA" w:rsidRDefault="000C23AA" w:rsidP="000C23AA">
      <w:r>
        <w:rPr>
          <w:rStyle w:val="CommentReference"/>
        </w:rPr>
        <w:annotationRef/>
      </w:r>
      <w:r>
        <w:rPr>
          <w:sz w:val="20"/>
          <w:szCs w:val="20"/>
        </w:rPr>
        <w:t>art. 5 alin. (1) lit. f) din Legea nr. 129/2019.</w:t>
      </w:r>
    </w:p>
  </w:comment>
  <w:comment w:id="35" w:author="UNBR" w:date="2023-11-16T12:39:00Z" w:initials="UNBR">
    <w:p w14:paraId="69DE167A" w14:textId="77777777" w:rsidR="000C23AA" w:rsidRDefault="000C23AA" w:rsidP="000C23AA">
      <w:r>
        <w:rPr>
          <w:rStyle w:val="CommentReference"/>
        </w:rPr>
        <w:annotationRef/>
      </w:r>
      <w:r>
        <w:rPr>
          <w:sz w:val="20"/>
          <w:szCs w:val="20"/>
        </w:rPr>
        <w:t>art. 5 alin. (1) lit. f) din Legea nr. 129/2019.</w:t>
      </w:r>
    </w:p>
  </w:comment>
  <w:comment w:id="36" w:author="UNBR" w:date="2023-11-16T12:40:00Z" w:initials="UNBR">
    <w:p w14:paraId="08113BBD" w14:textId="77777777" w:rsidR="000C23AA" w:rsidRDefault="000C23AA" w:rsidP="000C23AA">
      <w:r>
        <w:rPr>
          <w:rStyle w:val="CommentReference"/>
        </w:rPr>
        <w:annotationRef/>
      </w:r>
      <w:r>
        <w:rPr>
          <w:sz w:val="20"/>
          <w:szCs w:val="20"/>
        </w:rPr>
        <w:t>art. 5 alin. (1) lit. f) coroborat cu art. 9 alin. (3) din Legea nr. 129/2019.</w:t>
      </w:r>
    </w:p>
  </w:comment>
  <w:comment w:id="37" w:author="UNBR" w:date="2023-11-16T12:41:00Z" w:initials="UNBR">
    <w:p w14:paraId="182D66FA" w14:textId="77777777" w:rsidR="000C23AA" w:rsidRDefault="000C23AA" w:rsidP="000C23AA">
      <w:r>
        <w:rPr>
          <w:rStyle w:val="CommentReference"/>
        </w:rPr>
        <w:annotationRef/>
      </w:r>
      <w:r>
        <w:rPr>
          <w:color w:val="000000"/>
          <w:sz w:val="20"/>
          <w:szCs w:val="20"/>
        </w:rPr>
        <w:t>art. 26 alin. (2) din Legea nr. 129/2019.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9267D1" w15:done="0"/>
  <w15:commentEx w15:paraId="5AA59052" w15:done="0"/>
  <w15:commentEx w15:paraId="1C9E7A00" w15:done="0"/>
  <w15:commentEx w15:paraId="06BB0E2C" w15:done="0"/>
  <w15:commentEx w15:paraId="511B5BFD" w15:done="0"/>
  <w15:commentEx w15:paraId="21A4E6FB" w15:done="0"/>
  <w15:commentEx w15:paraId="4E3DFE81" w15:done="0"/>
  <w15:commentEx w15:paraId="3B59741A" w15:done="0"/>
  <w15:commentEx w15:paraId="71C7F018" w15:done="0"/>
  <w15:commentEx w15:paraId="1E52C314" w15:done="0"/>
  <w15:commentEx w15:paraId="6812A191" w15:done="0"/>
  <w15:commentEx w15:paraId="2DCD2692" w15:done="0"/>
  <w15:commentEx w15:paraId="324D8249" w15:done="0"/>
  <w15:commentEx w15:paraId="628BFCCA" w15:done="0"/>
  <w15:commentEx w15:paraId="2F6DBC28" w15:done="0"/>
  <w15:commentEx w15:paraId="266FE98A" w15:done="0"/>
  <w15:commentEx w15:paraId="2E5F28A1" w15:done="0"/>
  <w15:commentEx w15:paraId="13A665A2" w15:done="0"/>
  <w15:commentEx w15:paraId="7195B3B7" w15:done="0"/>
  <w15:commentEx w15:paraId="171C78B5" w15:done="0"/>
  <w15:commentEx w15:paraId="3A4F69BB" w15:done="0"/>
  <w15:commentEx w15:paraId="13980AB2" w15:done="0"/>
  <w15:commentEx w15:paraId="4ADF0762" w15:done="0"/>
  <w15:commentEx w15:paraId="692B27B2" w15:done="0"/>
  <w15:commentEx w15:paraId="379EC37D" w15:done="0"/>
  <w15:commentEx w15:paraId="60BE547F" w15:done="0"/>
  <w15:commentEx w15:paraId="00BC6DEC" w15:done="0"/>
  <w15:commentEx w15:paraId="57D1ABC8" w15:done="0"/>
  <w15:commentEx w15:paraId="21B80894" w15:done="0"/>
  <w15:commentEx w15:paraId="2C2DCA71" w15:done="0"/>
  <w15:commentEx w15:paraId="73BC1F20" w15:done="0"/>
  <w15:commentEx w15:paraId="72ACCA69" w15:done="0"/>
  <w15:commentEx w15:paraId="69DE167A" w15:done="0"/>
  <w15:commentEx w15:paraId="08113BBD" w15:done="0"/>
  <w15:commentEx w15:paraId="182D6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D55267" w16cex:dateUtc="2023-11-16T10:41:00Z"/>
  <w16cex:commentExtensible w16cex:durableId="7100A299" w16cex:dateUtc="2023-11-16T10:42:00Z"/>
  <w16cex:commentExtensible w16cex:durableId="69EC2A91" w16cex:dateUtc="2023-11-16T10:42:00Z"/>
  <w16cex:commentExtensible w16cex:durableId="63583B8D" w16cex:dateUtc="2024-06-06T19:05:00Z"/>
  <w16cex:commentExtensible w16cex:durableId="703FAB38" w16cex:dateUtc="2023-11-16T10:43:00Z"/>
  <w16cex:commentExtensible w16cex:durableId="787E7D15" w16cex:dateUtc="2023-11-16T10:44:00Z"/>
  <w16cex:commentExtensible w16cex:durableId="4A10CFFE" w16cex:dateUtc="2024-10-29T13:29:00Z"/>
  <w16cex:commentExtensible w16cex:durableId="344315A5" w16cex:dateUtc="2023-11-16T10:44:00Z"/>
  <w16cex:commentExtensible w16cex:durableId="5D272C7B" w16cex:dateUtc="2023-11-16T10:44:00Z"/>
  <w16cex:commentExtensible w16cex:durableId="4FCD093F" w16cex:dateUtc="2023-11-16T10:45:00Z"/>
  <w16cex:commentExtensible w16cex:durableId="1C7803DF" w16cex:dateUtc="2024-11-17T15:18:00Z"/>
  <w16cex:commentExtensible w16cex:durableId="2C9FA280" w16cex:dateUtc="2023-11-16T10:45:00Z"/>
  <w16cex:commentExtensible w16cex:durableId="02317A3A" w16cex:dateUtc="2023-11-16T10:45:00Z"/>
  <w16cex:commentExtensible w16cex:durableId="79B886B6" w16cex:dateUtc="2023-11-16T10:46:00Z"/>
  <w16cex:commentExtensible w16cex:durableId="543623F0" w16cex:dateUtc="2023-11-16T10:46:00Z"/>
  <w16cex:commentExtensible w16cex:durableId="09985D5D" w16cex:dateUtc="2023-11-16T10:49:00Z"/>
  <w16cex:commentExtensible w16cex:durableId="712CF155" w16cex:dateUtc="2023-11-16T10:50:00Z"/>
  <w16cex:commentExtensible w16cex:durableId="43CCB4B5" w16cex:dateUtc="2023-11-16T10:50:00Z"/>
  <w16cex:commentExtensible w16cex:durableId="310E59CC" w16cex:dateUtc="2024-11-17T15:24:00Z"/>
  <w16cex:commentExtensible w16cex:durableId="7A851CBE" w16cex:dateUtc="2024-11-17T15:15:00Z"/>
  <w16cex:commentExtensible w16cex:durableId="21015684" w16cex:dateUtc="2024-11-17T15:43:00Z"/>
  <w16cex:commentExtensible w16cex:durableId="1C0CF172" w16cex:dateUtc="2023-11-16T10:52:00Z"/>
  <w16cex:commentExtensible w16cex:durableId="51AA48A8" w16cex:dateUtc="2023-11-16T10:52:00Z"/>
  <w16cex:commentExtensible w16cex:durableId="4135E3FE" w16cex:dateUtc="2023-11-16T10:52:00Z"/>
  <w16cex:commentExtensible w16cex:durableId="38F0284E" w16cex:dateUtc="2023-11-16T10:52:00Z"/>
  <w16cex:commentExtensible w16cex:durableId="0091EA73" w16cex:dateUtc="2024-01-25T07:44:00Z"/>
  <w16cex:commentExtensible w16cex:durableId="43BD7B92" w16cex:dateUtc="2023-11-16T10:53:00Z"/>
  <w16cex:commentExtensible w16cex:durableId="5D4727C7" w16cex:dateUtc="2023-11-16T10:53:00Z"/>
  <w16cex:commentExtensible w16cex:durableId="3951B2F1" w16cex:dateUtc="2023-11-16T10:54:00Z"/>
  <w16cex:commentExtensible w16cex:durableId="589C2AA3" w16cex:dateUtc="2023-11-16T10:54:00Z"/>
  <w16cex:commentExtensible w16cex:durableId="7DC9CADF" w16cex:dateUtc="2023-11-16T10:54:00Z"/>
  <w16cex:commentExtensible w16cex:durableId="432284BA" w16cex:dateUtc="2023-11-16T10:39:00Z"/>
  <w16cex:commentExtensible w16cex:durableId="3D2466AA" w16cex:dateUtc="2023-11-16T10:39:00Z"/>
  <w16cex:commentExtensible w16cex:durableId="03A0C4DD" w16cex:dateUtc="2023-11-16T10:40:00Z"/>
  <w16cex:commentExtensible w16cex:durableId="67138184" w16cex:dateUtc="2023-11-1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9267D1" w16cid:durableId="40D55267"/>
  <w16cid:commentId w16cid:paraId="5AA59052" w16cid:durableId="7100A299"/>
  <w16cid:commentId w16cid:paraId="1C9E7A00" w16cid:durableId="69EC2A91"/>
  <w16cid:commentId w16cid:paraId="06BB0E2C" w16cid:durableId="63583B8D"/>
  <w16cid:commentId w16cid:paraId="511B5BFD" w16cid:durableId="703FAB38"/>
  <w16cid:commentId w16cid:paraId="21A4E6FB" w16cid:durableId="787E7D15"/>
  <w16cid:commentId w16cid:paraId="4E3DFE81" w16cid:durableId="4A10CFFE"/>
  <w16cid:commentId w16cid:paraId="3B59741A" w16cid:durableId="344315A5"/>
  <w16cid:commentId w16cid:paraId="71C7F018" w16cid:durableId="5D272C7B"/>
  <w16cid:commentId w16cid:paraId="1E52C314" w16cid:durableId="4FCD093F"/>
  <w16cid:commentId w16cid:paraId="6812A191" w16cid:durableId="1C7803DF"/>
  <w16cid:commentId w16cid:paraId="2DCD2692" w16cid:durableId="2C9FA280"/>
  <w16cid:commentId w16cid:paraId="324D8249" w16cid:durableId="02317A3A"/>
  <w16cid:commentId w16cid:paraId="628BFCCA" w16cid:durableId="79B886B6"/>
  <w16cid:commentId w16cid:paraId="2F6DBC28" w16cid:durableId="543623F0"/>
  <w16cid:commentId w16cid:paraId="266FE98A" w16cid:durableId="09985D5D"/>
  <w16cid:commentId w16cid:paraId="2E5F28A1" w16cid:durableId="712CF155"/>
  <w16cid:commentId w16cid:paraId="13A665A2" w16cid:durableId="43CCB4B5"/>
  <w16cid:commentId w16cid:paraId="7195B3B7" w16cid:durableId="310E59CC"/>
  <w16cid:commentId w16cid:paraId="171C78B5" w16cid:durableId="7A851CBE"/>
  <w16cid:commentId w16cid:paraId="3A4F69BB" w16cid:durableId="21015684"/>
  <w16cid:commentId w16cid:paraId="13980AB2" w16cid:durableId="1C0CF172"/>
  <w16cid:commentId w16cid:paraId="4ADF0762" w16cid:durableId="51AA48A8"/>
  <w16cid:commentId w16cid:paraId="692B27B2" w16cid:durableId="4135E3FE"/>
  <w16cid:commentId w16cid:paraId="379EC37D" w16cid:durableId="38F0284E"/>
  <w16cid:commentId w16cid:paraId="60BE547F" w16cid:durableId="0091EA73"/>
  <w16cid:commentId w16cid:paraId="00BC6DEC" w16cid:durableId="43BD7B92"/>
  <w16cid:commentId w16cid:paraId="57D1ABC8" w16cid:durableId="5D4727C7"/>
  <w16cid:commentId w16cid:paraId="21B80894" w16cid:durableId="3951B2F1"/>
  <w16cid:commentId w16cid:paraId="2C2DCA71" w16cid:durableId="589C2AA3"/>
  <w16cid:commentId w16cid:paraId="73BC1F20" w16cid:durableId="7DC9CADF"/>
  <w16cid:commentId w16cid:paraId="72ACCA69" w16cid:durableId="432284BA"/>
  <w16cid:commentId w16cid:paraId="69DE167A" w16cid:durableId="3D2466AA"/>
  <w16cid:commentId w16cid:paraId="08113BBD" w16cid:durableId="03A0C4DD"/>
  <w16cid:commentId w16cid:paraId="182D66FA" w16cid:durableId="67138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0B939" w14:textId="77777777" w:rsidR="005E03E0" w:rsidRDefault="005E03E0">
      <w:r>
        <w:separator/>
      </w:r>
    </w:p>
  </w:endnote>
  <w:endnote w:type="continuationSeparator" w:id="0">
    <w:p w14:paraId="5901C4F7" w14:textId="77777777" w:rsidR="005E03E0" w:rsidRDefault="005E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B186" w14:textId="77777777" w:rsidR="005657C2" w:rsidRDefault="005657C2" w:rsidP="00D20D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1C5FDC" w14:textId="77777777" w:rsidR="005657C2" w:rsidRDefault="005657C2" w:rsidP="00153D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185813"/>
      <w:docPartObj>
        <w:docPartGallery w:val="Page Numbers (Bottom of Page)"/>
        <w:docPartUnique/>
      </w:docPartObj>
    </w:sdtPr>
    <w:sdtEndPr>
      <w:rPr>
        <w:noProof/>
      </w:rPr>
    </w:sdtEndPr>
    <w:sdtContent>
      <w:p w14:paraId="213C2FC7" w14:textId="778BD66E" w:rsidR="00FA2C9D" w:rsidRDefault="00FA2C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D3F8B" w14:textId="77777777" w:rsidR="005657C2" w:rsidRDefault="005657C2" w:rsidP="00153D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62892" w14:textId="77777777" w:rsidR="005E03E0" w:rsidRDefault="005E03E0">
      <w:r>
        <w:separator/>
      </w:r>
    </w:p>
  </w:footnote>
  <w:footnote w:type="continuationSeparator" w:id="0">
    <w:p w14:paraId="57B6401A" w14:textId="77777777" w:rsidR="005E03E0" w:rsidRDefault="005E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BD6"/>
    <w:multiLevelType w:val="hybridMultilevel"/>
    <w:tmpl w:val="503699FC"/>
    <w:lvl w:ilvl="0" w:tplc="695A08EA">
      <w:numFmt w:val="bullet"/>
      <w:lvlText w:val="-"/>
      <w:lvlJc w:val="left"/>
      <w:pPr>
        <w:tabs>
          <w:tab w:val="num" w:pos="1080"/>
        </w:tabs>
        <w:ind w:left="1080" w:hanging="360"/>
      </w:pPr>
      <w:rPr>
        <w:rFonts w:ascii="Trebuchet MS" w:eastAsia="SimSun" w:hAnsi="Trebuchet M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2F691D"/>
    <w:multiLevelType w:val="hybridMultilevel"/>
    <w:tmpl w:val="B8BEC48A"/>
    <w:lvl w:ilvl="0" w:tplc="CCDEF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66796"/>
    <w:multiLevelType w:val="hybridMultilevel"/>
    <w:tmpl w:val="30861368"/>
    <w:lvl w:ilvl="0" w:tplc="9A1A5AB4">
      <w:start w:val="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EE2A45"/>
    <w:multiLevelType w:val="hybridMultilevel"/>
    <w:tmpl w:val="3BB4DC8A"/>
    <w:lvl w:ilvl="0" w:tplc="7302A8FC">
      <w:start w:val="1"/>
      <w:numFmt w:val="lowerLetter"/>
      <w:lvlText w:val="%1)"/>
      <w:lvlJc w:val="left"/>
      <w:pPr>
        <w:ind w:left="600" w:hanging="360"/>
      </w:pPr>
      <w:rPr>
        <w:rFonts w:eastAsia="Calibri"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 w15:restartNumberingAfterBreak="0">
    <w:nsid w:val="1DB43D81"/>
    <w:multiLevelType w:val="hybridMultilevel"/>
    <w:tmpl w:val="D30C3016"/>
    <w:lvl w:ilvl="0" w:tplc="4322D0C6">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A51A4D"/>
    <w:multiLevelType w:val="hybridMultilevel"/>
    <w:tmpl w:val="4C887D06"/>
    <w:lvl w:ilvl="0" w:tplc="66CAE86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03C2FFA"/>
    <w:multiLevelType w:val="hybridMultilevel"/>
    <w:tmpl w:val="756A06AE"/>
    <w:lvl w:ilvl="0" w:tplc="6694D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197633"/>
    <w:multiLevelType w:val="hybridMultilevel"/>
    <w:tmpl w:val="22B84304"/>
    <w:lvl w:ilvl="0" w:tplc="FC7CADDA">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8" w15:restartNumberingAfterBreak="0">
    <w:nsid w:val="45F62346"/>
    <w:multiLevelType w:val="hybridMultilevel"/>
    <w:tmpl w:val="540E2422"/>
    <w:lvl w:ilvl="0" w:tplc="D7101A6E">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9" w15:restartNumberingAfterBreak="0">
    <w:nsid w:val="4AB3783E"/>
    <w:multiLevelType w:val="hybridMultilevel"/>
    <w:tmpl w:val="C1E85C36"/>
    <w:lvl w:ilvl="0" w:tplc="ACEA27A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15:restartNumberingAfterBreak="0">
    <w:nsid w:val="53EC90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466114D"/>
    <w:multiLevelType w:val="hybridMultilevel"/>
    <w:tmpl w:val="2C8074BC"/>
    <w:lvl w:ilvl="0" w:tplc="BD16773E">
      <w:start w:val="1"/>
      <w:numFmt w:val="decimal"/>
      <w:lvlText w:val="(%1)"/>
      <w:lvlJc w:val="left"/>
      <w:pPr>
        <w:ind w:left="360" w:hanging="360"/>
      </w:pPr>
      <w:rPr>
        <w:rFonts w:ascii="Times New Roman" w:eastAsia="Times New Roman" w:hAnsi="Times New Roman" w:cs="Times New Roman"/>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57DF4FF7"/>
    <w:multiLevelType w:val="hybridMultilevel"/>
    <w:tmpl w:val="AC885DE8"/>
    <w:lvl w:ilvl="0" w:tplc="50263EB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9511A89"/>
    <w:multiLevelType w:val="hybridMultilevel"/>
    <w:tmpl w:val="244A75B2"/>
    <w:lvl w:ilvl="0" w:tplc="4CA490F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4" w15:restartNumberingAfterBreak="0">
    <w:nsid w:val="6B2666EF"/>
    <w:multiLevelType w:val="hybridMultilevel"/>
    <w:tmpl w:val="39920CAE"/>
    <w:lvl w:ilvl="0" w:tplc="A19C453A">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5" w15:restartNumberingAfterBreak="0">
    <w:nsid w:val="6C68243C"/>
    <w:multiLevelType w:val="hybridMultilevel"/>
    <w:tmpl w:val="DD209D6A"/>
    <w:lvl w:ilvl="0" w:tplc="5680F81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F168AB"/>
    <w:multiLevelType w:val="hybridMultilevel"/>
    <w:tmpl w:val="427E5EA6"/>
    <w:lvl w:ilvl="0" w:tplc="4322D0C6">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21329824">
    <w:abstractNumId w:val="6"/>
  </w:num>
  <w:num w:numId="2" w16cid:durableId="1835876356">
    <w:abstractNumId w:val="12"/>
  </w:num>
  <w:num w:numId="3" w16cid:durableId="231896430">
    <w:abstractNumId w:val="0"/>
  </w:num>
  <w:num w:numId="4" w16cid:durableId="1103305638">
    <w:abstractNumId w:val="5"/>
  </w:num>
  <w:num w:numId="5" w16cid:durableId="1570185671">
    <w:abstractNumId w:val="16"/>
  </w:num>
  <w:num w:numId="6" w16cid:durableId="208077620">
    <w:abstractNumId w:val="9"/>
  </w:num>
  <w:num w:numId="7" w16cid:durableId="265234937">
    <w:abstractNumId w:val="4"/>
  </w:num>
  <w:num w:numId="8" w16cid:durableId="1935086288">
    <w:abstractNumId w:val="2"/>
  </w:num>
  <w:num w:numId="9" w16cid:durableId="1610432100">
    <w:abstractNumId w:val="1"/>
  </w:num>
  <w:num w:numId="10" w16cid:durableId="908884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144264">
    <w:abstractNumId w:val="3"/>
  </w:num>
  <w:num w:numId="12" w16cid:durableId="1493906293">
    <w:abstractNumId w:val="14"/>
  </w:num>
  <w:num w:numId="13" w16cid:durableId="1167794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4924066">
    <w:abstractNumId w:val="10"/>
  </w:num>
  <w:num w:numId="15" w16cid:durableId="1728643966">
    <w:abstractNumId w:val="13"/>
  </w:num>
  <w:num w:numId="16" w16cid:durableId="1466310790">
    <w:abstractNumId w:val="7"/>
  </w:num>
  <w:num w:numId="17" w16cid:durableId="10244745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BR">
    <w15:presenceInfo w15:providerId="None" w15:userId="UN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46"/>
    <w:rsid w:val="00000904"/>
    <w:rsid w:val="00001F8D"/>
    <w:rsid w:val="0000273B"/>
    <w:rsid w:val="0000289E"/>
    <w:rsid w:val="00007ED0"/>
    <w:rsid w:val="00007ED9"/>
    <w:rsid w:val="00013D03"/>
    <w:rsid w:val="000155C0"/>
    <w:rsid w:val="0001709B"/>
    <w:rsid w:val="00020A95"/>
    <w:rsid w:val="000218C7"/>
    <w:rsid w:val="000248D7"/>
    <w:rsid w:val="00025E4D"/>
    <w:rsid w:val="00031F7A"/>
    <w:rsid w:val="000407E6"/>
    <w:rsid w:val="00044CFC"/>
    <w:rsid w:val="0004512A"/>
    <w:rsid w:val="00051178"/>
    <w:rsid w:val="000526BF"/>
    <w:rsid w:val="000578D0"/>
    <w:rsid w:val="00064EB6"/>
    <w:rsid w:val="000662DA"/>
    <w:rsid w:val="00071B2A"/>
    <w:rsid w:val="000848DB"/>
    <w:rsid w:val="000923B3"/>
    <w:rsid w:val="0009384E"/>
    <w:rsid w:val="00093FBB"/>
    <w:rsid w:val="00094CEA"/>
    <w:rsid w:val="000A183A"/>
    <w:rsid w:val="000A3F79"/>
    <w:rsid w:val="000A416B"/>
    <w:rsid w:val="000A5F37"/>
    <w:rsid w:val="000A6091"/>
    <w:rsid w:val="000A6C37"/>
    <w:rsid w:val="000A7402"/>
    <w:rsid w:val="000C23AA"/>
    <w:rsid w:val="000C4FE3"/>
    <w:rsid w:val="000D4EA3"/>
    <w:rsid w:val="000D63A4"/>
    <w:rsid w:val="000E1A10"/>
    <w:rsid w:val="000E2B43"/>
    <w:rsid w:val="000E5A7D"/>
    <w:rsid w:val="000F101C"/>
    <w:rsid w:val="000F3AF4"/>
    <w:rsid w:val="000F4076"/>
    <w:rsid w:val="00111000"/>
    <w:rsid w:val="00112BAF"/>
    <w:rsid w:val="00115EAF"/>
    <w:rsid w:val="00120153"/>
    <w:rsid w:val="001226F7"/>
    <w:rsid w:val="00124B1E"/>
    <w:rsid w:val="00132DF5"/>
    <w:rsid w:val="00132F10"/>
    <w:rsid w:val="001408BB"/>
    <w:rsid w:val="00140D22"/>
    <w:rsid w:val="00143FCF"/>
    <w:rsid w:val="00150663"/>
    <w:rsid w:val="00153D29"/>
    <w:rsid w:val="0016228E"/>
    <w:rsid w:val="00162E87"/>
    <w:rsid w:val="00170AC7"/>
    <w:rsid w:val="00173FA5"/>
    <w:rsid w:val="00174CD4"/>
    <w:rsid w:val="00176E1B"/>
    <w:rsid w:val="001816E8"/>
    <w:rsid w:val="0018468E"/>
    <w:rsid w:val="001912E1"/>
    <w:rsid w:val="001A7D8E"/>
    <w:rsid w:val="001B259F"/>
    <w:rsid w:val="001C4EC9"/>
    <w:rsid w:val="001D345A"/>
    <w:rsid w:val="001E2E8F"/>
    <w:rsid w:val="001E3AB1"/>
    <w:rsid w:val="001E4022"/>
    <w:rsid w:val="001E559F"/>
    <w:rsid w:val="001F012C"/>
    <w:rsid w:val="001F12CE"/>
    <w:rsid w:val="001F2110"/>
    <w:rsid w:val="00201289"/>
    <w:rsid w:val="00204634"/>
    <w:rsid w:val="00205C4F"/>
    <w:rsid w:val="00207D12"/>
    <w:rsid w:val="00214276"/>
    <w:rsid w:val="0021493B"/>
    <w:rsid w:val="00214FE5"/>
    <w:rsid w:val="00216F96"/>
    <w:rsid w:val="00220577"/>
    <w:rsid w:val="002225EA"/>
    <w:rsid w:val="00225DD7"/>
    <w:rsid w:val="00230DE4"/>
    <w:rsid w:val="00231228"/>
    <w:rsid w:val="0023457E"/>
    <w:rsid w:val="00236627"/>
    <w:rsid w:val="0024291E"/>
    <w:rsid w:val="00247E84"/>
    <w:rsid w:val="00251A8C"/>
    <w:rsid w:val="00256FBC"/>
    <w:rsid w:val="002702F6"/>
    <w:rsid w:val="00271206"/>
    <w:rsid w:val="00275D46"/>
    <w:rsid w:val="002776D0"/>
    <w:rsid w:val="002935AB"/>
    <w:rsid w:val="002948AC"/>
    <w:rsid w:val="002A4BBD"/>
    <w:rsid w:val="002A7AA7"/>
    <w:rsid w:val="002B2501"/>
    <w:rsid w:val="002B2D95"/>
    <w:rsid w:val="002C7552"/>
    <w:rsid w:val="002D18BC"/>
    <w:rsid w:val="002D464E"/>
    <w:rsid w:val="002D58D4"/>
    <w:rsid w:val="002E6792"/>
    <w:rsid w:val="002E7D03"/>
    <w:rsid w:val="002F4A0B"/>
    <w:rsid w:val="002F75AB"/>
    <w:rsid w:val="00301BC0"/>
    <w:rsid w:val="003027CB"/>
    <w:rsid w:val="003066DD"/>
    <w:rsid w:val="00310483"/>
    <w:rsid w:val="00312594"/>
    <w:rsid w:val="00312AC7"/>
    <w:rsid w:val="00335BE1"/>
    <w:rsid w:val="003559EC"/>
    <w:rsid w:val="00362683"/>
    <w:rsid w:val="00365870"/>
    <w:rsid w:val="00373910"/>
    <w:rsid w:val="003747D4"/>
    <w:rsid w:val="00380430"/>
    <w:rsid w:val="00380F2A"/>
    <w:rsid w:val="00383AF6"/>
    <w:rsid w:val="00391BB1"/>
    <w:rsid w:val="00396316"/>
    <w:rsid w:val="003A4F81"/>
    <w:rsid w:val="003B2D8E"/>
    <w:rsid w:val="003B4D96"/>
    <w:rsid w:val="003C15CB"/>
    <w:rsid w:val="003C7807"/>
    <w:rsid w:val="003D15A1"/>
    <w:rsid w:val="003D5944"/>
    <w:rsid w:val="003D59AA"/>
    <w:rsid w:val="003E5C84"/>
    <w:rsid w:val="003E6A01"/>
    <w:rsid w:val="003E7ABC"/>
    <w:rsid w:val="003F1431"/>
    <w:rsid w:val="003F5D2A"/>
    <w:rsid w:val="003F718C"/>
    <w:rsid w:val="004014D2"/>
    <w:rsid w:val="00402469"/>
    <w:rsid w:val="00403B00"/>
    <w:rsid w:val="0040405C"/>
    <w:rsid w:val="00407E7A"/>
    <w:rsid w:val="00412389"/>
    <w:rsid w:val="00417FA3"/>
    <w:rsid w:val="004243DB"/>
    <w:rsid w:val="00435118"/>
    <w:rsid w:val="00444122"/>
    <w:rsid w:val="004568C0"/>
    <w:rsid w:val="00460436"/>
    <w:rsid w:val="00465D2A"/>
    <w:rsid w:val="00471479"/>
    <w:rsid w:val="00473291"/>
    <w:rsid w:val="00480505"/>
    <w:rsid w:val="00480CA6"/>
    <w:rsid w:val="004844F8"/>
    <w:rsid w:val="00485A0A"/>
    <w:rsid w:val="00494CC7"/>
    <w:rsid w:val="004A0F8E"/>
    <w:rsid w:val="004A13DB"/>
    <w:rsid w:val="004A1579"/>
    <w:rsid w:val="004A1D70"/>
    <w:rsid w:val="004A5489"/>
    <w:rsid w:val="004B54DC"/>
    <w:rsid w:val="004C402B"/>
    <w:rsid w:val="004D254B"/>
    <w:rsid w:val="004D358C"/>
    <w:rsid w:val="004D7A7F"/>
    <w:rsid w:val="004E3EE3"/>
    <w:rsid w:val="004E755C"/>
    <w:rsid w:val="004F083C"/>
    <w:rsid w:val="00503749"/>
    <w:rsid w:val="00503A55"/>
    <w:rsid w:val="00505143"/>
    <w:rsid w:val="005059B7"/>
    <w:rsid w:val="00514E0C"/>
    <w:rsid w:val="00520F96"/>
    <w:rsid w:val="0052619D"/>
    <w:rsid w:val="00530CEF"/>
    <w:rsid w:val="00532C5A"/>
    <w:rsid w:val="00534AB1"/>
    <w:rsid w:val="00543C31"/>
    <w:rsid w:val="00544C14"/>
    <w:rsid w:val="00546C57"/>
    <w:rsid w:val="005501AF"/>
    <w:rsid w:val="00551332"/>
    <w:rsid w:val="00551D71"/>
    <w:rsid w:val="005531F8"/>
    <w:rsid w:val="00554C8C"/>
    <w:rsid w:val="0055552F"/>
    <w:rsid w:val="00555640"/>
    <w:rsid w:val="00557AAE"/>
    <w:rsid w:val="005657C2"/>
    <w:rsid w:val="00582613"/>
    <w:rsid w:val="00585A9B"/>
    <w:rsid w:val="005A32F8"/>
    <w:rsid w:val="005A6F47"/>
    <w:rsid w:val="005A71CE"/>
    <w:rsid w:val="005B40CB"/>
    <w:rsid w:val="005C15BE"/>
    <w:rsid w:val="005C2555"/>
    <w:rsid w:val="005C3B2A"/>
    <w:rsid w:val="005C6270"/>
    <w:rsid w:val="005D06F2"/>
    <w:rsid w:val="005D12DF"/>
    <w:rsid w:val="005D3226"/>
    <w:rsid w:val="005D5364"/>
    <w:rsid w:val="005E022F"/>
    <w:rsid w:val="005E03E0"/>
    <w:rsid w:val="005E105E"/>
    <w:rsid w:val="005E2464"/>
    <w:rsid w:val="005E3278"/>
    <w:rsid w:val="005E35B7"/>
    <w:rsid w:val="005E3A2A"/>
    <w:rsid w:val="005E44E5"/>
    <w:rsid w:val="005E4AC3"/>
    <w:rsid w:val="005E6B5A"/>
    <w:rsid w:val="005F4292"/>
    <w:rsid w:val="005F6B78"/>
    <w:rsid w:val="006040D7"/>
    <w:rsid w:val="00614D0C"/>
    <w:rsid w:val="00622820"/>
    <w:rsid w:val="00624311"/>
    <w:rsid w:val="006250E8"/>
    <w:rsid w:val="006341ED"/>
    <w:rsid w:val="006350D5"/>
    <w:rsid w:val="0063571C"/>
    <w:rsid w:val="006360FF"/>
    <w:rsid w:val="00640A85"/>
    <w:rsid w:val="00641C02"/>
    <w:rsid w:val="00642D5B"/>
    <w:rsid w:val="00642F6E"/>
    <w:rsid w:val="0064399D"/>
    <w:rsid w:val="006528BC"/>
    <w:rsid w:val="006602E3"/>
    <w:rsid w:val="00665B68"/>
    <w:rsid w:val="00676B35"/>
    <w:rsid w:val="00684554"/>
    <w:rsid w:val="0069338C"/>
    <w:rsid w:val="006A2239"/>
    <w:rsid w:val="006A26BD"/>
    <w:rsid w:val="006A55F7"/>
    <w:rsid w:val="006A5E27"/>
    <w:rsid w:val="006A704F"/>
    <w:rsid w:val="006B246B"/>
    <w:rsid w:val="006B327B"/>
    <w:rsid w:val="006B55BD"/>
    <w:rsid w:val="006B64AF"/>
    <w:rsid w:val="006C6E66"/>
    <w:rsid w:val="006D10FA"/>
    <w:rsid w:val="006D3653"/>
    <w:rsid w:val="006E139C"/>
    <w:rsid w:val="006E190A"/>
    <w:rsid w:val="006E3578"/>
    <w:rsid w:val="006E67EB"/>
    <w:rsid w:val="006F6005"/>
    <w:rsid w:val="007024C8"/>
    <w:rsid w:val="00704863"/>
    <w:rsid w:val="00706223"/>
    <w:rsid w:val="007118C3"/>
    <w:rsid w:val="00712BF9"/>
    <w:rsid w:val="00714E98"/>
    <w:rsid w:val="00736C4F"/>
    <w:rsid w:val="007373F7"/>
    <w:rsid w:val="00752BEE"/>
    <w:rsid w:val="0075413D"/>
    <w:rsid w:val="0076776B"/>
    <w:rsid w:val="00771074"/>
    <w:rsid w:val="00775A81"/>
    <w:rsid w:val="007761F5"/>
    <w:rsid w:val="007839C5"/>
    <w:rsid w:val="007926BB"/>
    <w:rsid w:val="0079374A"/>
    <w:rsid w:val="0079794A"/>
    <w:rsid w:val="007A3FB2"/>
    <w:rsid w:val="007A7F48"/>
    <w:rsid w:val="007B4E40"/>
    <w:rsid w:val="007C0766"/>
    <w:rsid w:val="007C147A"/>
    <w:rsid w:val="007C2E49"/>
    <w:rsid w:val="007C7090"/>
    <w:rsid w:val="007D4709"/>
    <w:rsid w:val="007E2B38"/>
    <w:rsid w:val="007E4017"/>
    <w:rsid w:val="007F53CC"/>
    <w:rsid w:val="00802F49"/>
    <w:rsid w:val="0081135B"/>
    <w:rsid w:val="00811DF0"/>
    <w:rsid w:val="00812D8F"/>
    <w:rsid w:val="00813681"/>
    <w:rsid w:val="00813731"/>
    <w:rsid w:val="008242F9"/>
    <w:rsid w:val="00826069"/>
    <w:rsid w:val="00830F87"/>
    <w:rsid w:val="008349A5"/>
    <w:rsid w:val="00834E61"/>
    <w:rsid w:val="00864446"/>
    <w:rsid w:val="00867911"/>
    <w:rsid w:val="00873928"/>
    <w:rsid w:val="008741D7"/>
    <w:rsid w:val="00874441"/>
    <w:rsid w:val="00874BEE"/>
    <w:rsid w:val="00882CB5"/>
    <w:rsid w:val="0089193A"/>
    <w:rsid w:val="008919CD"/>
    <w:rsid w:val="008A2C99"/>
    <w:rsid w:val="008A3640"/>
    <w:rsid w:val="008A3E92"/>
    <w:rsid w:val="008B6D37"/>
    <w:rsid w:val="008C23DF"/>
    <w:rsid w:val="008C542C"/>
    <w:rsid w:val="008D5BB2"/>
    <w:rsid w:val="008E4FD4"/>
    <w:rsid w:val="008F23A1"/>
    <w:rsid w:val="008F3A13"/>
    <w:rsid w:val="0090177A"/>
    <w:rsid w:val="00911009"/>
    <w:rsid w:val="009134F8"/>
    <w:rsid w:val="00920D4B"/>
    <w:rsid w:val="00932928"/>
    <w:rsid w:val="00933DF7"/>
    <w:rsid w:val="00940CC3"/>
    <w:rsid w:val="0094336D"/>
    <w:rsid w:val="00943E24"/>
    <w:rsid w:val="00943E8C"/>
    <w:rsid w:val="009470DD"/>
    <w:rsid w:val="0095265D"/>
    <w:rsid w:val="00957700"/>
    <w:rsid w:val="00957AAA"/>
    <w:rsid w:val="00961997"/>
    <w:rsid w:val="00963E2F"/>
    <w:rsid w:val="009677F4"/>
    <w:rsid w:val="009739AD"/>
    <w:rsid w:val="00983D62"/>
    <w:rsid w:val="00990D52"/>
    <w:rsid w:val="0099196B"/>
    <w:rsid w:val="009A0094"/>
    <w:rsid w:val="009A2E80"/>
    <w:rsid w:val="009A37CC"/>
    <w:rsid w:val="009A58EC"/>
    <w:rsid w:val="009B58A2"/>
    <w:rsid w:val="009B6CAC"/>
    <w:rsid w:val="009C18FD"/>
    <w:rsid w:val="009C2823"/>
    <w:rsid w:val="009D26ED"/>
    <w:rsid w:val="009D5C83"/>
    <w:rsid w:val="009D78D5"/>
    <w:rsid w:val="009E76E5"/>
    <w:rsid w:val="009F09E3"/>
    <w:rsid w:val="00A07AA9"/>
    <w:rsid w:val="00A07BD0"/>
    <w:rsid w:val="00A12B99"/>
    <w:rsid w:val="00A21A96"/>
    <w:rsid w:val="00A23240"/>
    <w:rsid w:val="00A2405A"/>
    <w:rsid w:val="00A26D4C"/>
    <w:rsid w:val="00A40421"/>
    <w:rsid w:val="00A43412"/>
    <w:rsid w:val="00A43C54"/>
    <w:rsid w:val="00A646A5"/>
    <w:rsid w:val="00A65A78"/>
    <w:rsid w:val="00A67D40"/>
    <w:rsid w:val="00A71186"/>
    <w:rsid w:val="00A777E8"/>
    <w:rsid w:val="00A86799"/>
    <w:rsid w:val="00A91B98"/>
    <w:rsid w:val="00AA281F"/>
    <w:rsid w:val="00AA2D47"/>
    <w:rsid w:val="00AA4353"/>
    <w:rsid w:val="00AA4AE6"/>
    <w:rsid w:val="00AB41A0"/>
    <w:rsid w:val="00AB7AB6"/>
    <w:rsid w:val="00AC7170"/>
    <w:rsid w:val="00AD4893"/>
    <w:rsid w:val="00AD662B"/>
    <w:rsid w:val="00AD6F0C"/>
    <w:rsid w:val="00AD6F63"/>
    <w:rsid w:val="00AD7580"/>
    <w:rsid w:val="00AE0505"/>
    <w:rsid w:val="00AE4A84"/>
    <w:rsid w:val="00AE568C"/>
    <w:rsid w:val="00B01B62"/>
    <w:rsid w:val="00B049F9"/>
    <w:rsid w:val="00B058DF"/>
    <w:rsid w:val="00B10CF5"/>
    <w:rsid w:val="00B14195"/>
    <w:rsid w:val="00B1565B"/>
    <w:rsid w:val="00B16F28"/>
    <w:rsid w:val="00B230D9"/>
    <w:rsid w:val="00B34674"/>
    <w:rsid w:val="00B40367"/>
    <w:rsid w:val="00B41F2A"/>
    <w:rsid w:val="00B4373B"/>
    <w:rsid w:val="00B43774"/>
    <w:rsid w:val="00B538C9"/>
    <w:rsid w:val="00B6170B"/>
    <w:rsid w:val="00B629F5"/>
    <w:rsid w:val="00B67CAA"/>
    <w:rsid w:val="00B97A36"/>
    <w:rsid w:val="00B97FF0"/>
    <w:rsid w:val="00BA2652"/>
    <w:rsid w:val="00BA2B15"/>
    <w:rsid w:val="00BA3753"/>
    <w:rsid w:val="00BA3FE2"/>
    <w:rsid w:val="00BB070D"/>
    <w:rsid w:val="00BB3FEA"/>
    <w:rsid w:val="00BB59A8"/>
    <w:rsid w:val="00BC0D10"/>
    <w:rsid w:val="00BE0E58"/>
    <w:rsid w:val="00BE12F5"/>
    <w:rsid w:val="00BE6568"/>
    <w:rsid w:val="00BE7124"/>
    <w:rsid w:val="00BF385E"/>
    <w:rsid w:val="00C10E29"/>
    <w:rsid w:val="00C22DD0"/>
    <w:rsid w:val="00C23AD2"/>
    <w:rsid w:val="00C248F8"/>
    <w:rsid w:val="00C26421"/>
    <w:rsid w:val="00C31B07"/>
    <w:rsid w:val="00C37010"/>
    <w:rsid w:val="00C37296"/>
    <w:rsid w:val="00C42EAB"/>
    <w:rsid w:val="00C50ABC"/>
    <w:rsid w:val="00C65BBF"/>
    <w:rsid w:val="00C679D8"/>
    <w:rsid w:val="00C704B6"/>
    <w:rsid w:val="00C759F2"/>
    <w:rsid w:val="00C7763C"/>
    <w:rsid w:val="00C93CEA"/>
    <w:rsid w:val="00C97639"/>
    <w:rsid w:val="00CA7DE1"/>
    <w:rsid w:val="00CB68AA"/>
    <w:rsid w:val="00CC00E5"/>
    <w:rsid w:val="00CD03ED"/>
    <w:rsid w:val="00CD2178"/>
    <w:rsid w:val="00CE5784"/>
    <w:rsid w:val="00CE67CE"/>
    <w:rsid w:val="00CF0D78"/>
    <w:rsid w:val="00CF39A3"/>
    <w:rsid w:val="00D01ECF"/>
    <w:rsid w:val="00D071EF"/>
    <w:rsid w:val="00D102B2"/>
    <w:rsid w:val="00D151D9"/>
    <w:rsid w:val="00D20D3F"/>
    <w:rsid w:val="00D2236C"/>
    <w:rsid w:val="00D23254"/>
    <w:rsid w:val="00D3331D"/>
    <w:rsid w:val="00D355D3"/>
    <w:rsid w:val="00D37B74"/>
    <w:rsid w:val="00D41AED"/>
    <w:rsid w:val="00D52A87"/>
    <w:rsid w:val="00D5782A"/>
    <w:rsid w:val="00D61146"/>
    <w:rsid w:val="00D67BA5"/>
    <w:rsid w:val="00D73961"/>
    <w:rsid w:val="00D744D5"/>
    <w:rsid w:val="00D86661"/>
    <w:rsid w:val="00D86914"/>
    <w:rsid w:val="00D9082D"/>
    <w:rsid w:val="00DA6472"/>
    <w:rsid w:val="00DA72FB"/>
    <w:rsid w:val="00DB0589"/>
    <w:rsid w:val="00DB2299"/>
    <w:rsid w:val="00DC31F3"/>
    <w:rsid w:val="00DD1ACE"/>
    <w:rsid w:val="00DD5793"/>
    <w:rsid w:val="00DD5B29"/>
    <w:rsid w:val="00DE072C"/>
    <w:rsid w:val="00DE24BF"/>
    <w:rsid w:val="00DF13F1"/>
    <w:rsid w:val="00E1513A"/>
    <w:rsid w:val="00E159ED"/>
    <w:rsid w:val="00E15F07"/>
    <w:rsid w:val="00E20348"/>
    <w:rsid w:val="00E3055A"/>
    <w:rsid w:val="00E33607"/>
    <w:rsid w:val="00E3428A"/>
    <w:rsid w:val="00E378E4"/>
    <w:rsid w:val="00E45DD5"/>
    <w:rsid w:val="00E460D6"/>
    <w:rsid w:val="00E523E7"/>
    <w:rsid w:val="00E56B54"/>
    <w:rsid w:val="00E605A6"/>
    <w:rsid w:val="00E655E3"/>
    <w:rsid w:val="00E866CF"/>
    <w:rsid w:val="00E87B16"/>
    <w:rsid w:val="00E92CEB"/>
    <w:rsid w:val="00E93228"/>
    <w:rsid w:val="00E94A06"/>
    <w:rsid w:val="00E94A78"/>
    <w:rsid w:val="00E97A12"/>
    <w:rsid w:val="00EA05CC"/>
    <w:rsid w:val="00EB2366"/>
    <w:rsid w:val="00EB3607"/>
    <w:rsid w:val="00EC0F12"/>
    <w:rsid w:val="00EC14C2"/>
    <w:rsid w:val="00EC31BD"/>
    <w:rsid w:val="00EC3A44"/>
    <w:rsid w:val="00EC447C"/>
    <w:rsid w:val="00EC7034"/>
    <w:rsid w:val="00EC729E"/>
    <w:rsid w:val="00ED5695"/>
    <w:rsid w:val="00EE02F9"/>
    <w:rsid w:val="00EE069A"/>
    <w:rsid w:val="00EE0F21"/>
    <w:rsid w:val="00EE138E"/>
    <w:rsid w:val="00EF1AD5"/>
    <w:rsid w:val="00EF3C90"/>
    <w:rsid w:val="00EF4239"/>
    <w:rsid w:val="00EF7034"/>
    <w:rsid w:val="00F038BD"/>
    <w:rsid w:val="00F065B0"/>
    <w:rsid w:val="00F117B8"/>
    <w:rsid w:val="00F15C2B"/>
    <w:rsid w:val="00F312C8"/>
    <w:rsid w:val="00F355BF"/>
    <w:rsid w:val="00F35B46"/>
    <w:rsid w:val="00F41761"/>
    <w:rsid w:val="00F4569D"/>
    <w:rsid w:val="00F46983"/>
    <w:rsid w:val="00F477C2"/>
    <w:rsid w:val="00F54112"/>
    <w:rsid w:val="00F60BB4"/>
    <w:rsid w:val="00F62E19"/>
    <w:rsid w:val="00F649B2"/>
    <w:rsid w:val="00F704B5"/>
    <w:rsid w:val="00F74F83"/>
    <w:rsid w:val="00F80430"/>
    <w:rsid w:val="00F91765"/>
    <w:rsid w:val="00F924A3"/>
    <w:rsid w:val="00F96FEF"/>
    <w:rsid w:val="00F9745B"/>
    <w:rsid w:val="00FA2C9D"/>
    <w:rsid w:val="00FA4799"/>
    <w:rsid w:val="00FC0462"/>
    <w:rsid w:val="00FC14B1"/>
    <w:rsid w:val="00FC39F9"/>
    <w:rsid w:val="00FC69B2"/>
    <w:rsid w:val="00FD4E33"/>
    <w:rsid w:val="00FE0048"/>
    <w:rsid w:val="00FE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1B605"/>
  <w15:chartTrackingRefBased/>
  <w15:docId w15:val="{E3A0B68C-A7F2-4646-8DB8-F3DB907C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505"/>
    <w:rPr>
      <w:rFonts w:ascii="Trebuchet MS" w:hAnsi="Trebuchet MS"/>
      <w:sz w:val="24"/>
      <w:szCs w:val="24"/>
      <w:lang w:val="ro-RO" w:eastAsia="zh-CN"/>
    </w:rPr>
  </w:style>
  <w:style w:type="paragraph" w:styleId="Heading1">
    <w:name w:val="heading 1"/>
    <w:basedOn w:val="Normal"/>
    <w:next w:val="Normal"/>
    <w:link w:val="Heading1Char"/>
    <w:uiPriority w:val="9"/>
    <w:qFormat/>
    <w:rsid w:val="004A13DB"/>
    <w:pPr>
      <w:keepNext/>
      <w:keepLines/>
      <w:spacing w:before="240" w:line="288" w:lineRule="auto"/>
      <w:outlineLvl w:val="0"/>
    </w:pPr>
    <w:rPr>
      <w:rFonts w:ascii="Tahoma" w:eastAsia="Times New Roman" w:hAnsi="Tahoma"/>
      <w:b/>
      <w:color w:val="000000"/>
      <w:sz w:val="26"/>
      <w:szCs w:val="3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5DD5"/>
    <w:rPr>
      <w:color w:val="0000FF"/>
      <w:u w:val="single"/>
    </w:rPr>
  </w:style>
  <w:style w:type="paragraph" w:styleId="Footer">
    <w:name w:val="footer"/>
    <w:basedOn w:val="Normal"/>
    <w:link w:val="FooterChar"/>
    <w:uiPriority w:val="99"/>
    <w:rsid w:val="00153D29"/>
    <w:pPr>
      <w:tabs>
        <w:tab w:val="center" w:pos="4320"/>
        <w:tab w:val="right" w:pos="8640"/>
      </w:tabs>
    </w:pPr>
  </w:style>
  <w:style w:type="character" w:styleId="PageNumber">
    <w:name w:val="page number"/>
    <w:basedOn w:val="DefaultParagraphFont"/>
    <w:rsid w:val="00153D29"/>
  </w:style>
  <w:style w:type="table" w:styleId="TableGrid">
    <w:name w:val="Table Grid"/>
    <w:basedOn w:val="TableNormal"/>
    <w:rsid w:val="004A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ARTICOLeu">
    <w:name w:val="SUBARTICOL eu"/>
    <w:basedOn w:val="Normal"/>
    <w:link w:val="SUBARTICOLeuCaracter"/>
    <w:rsid w:val="005059B7"/>
    <w:pPr>
      <w:autoSpaceDE w:val="0"/>
      <w:autoSpaceDN w:val="0"/>
      <w:adjustRightInd w:val="0"/>
      <w:spacing w:before="40" w:line="242" w:lineRule="auto"/>
      <w:ind w:firstLine="284"/>
      <w:jc w:val="both"/>
    </w:pPr>
    <w:rPr>
      <w:rFonts w:ascii="Times New Roman" w:hAnsi="Times New Roman"/>
      <w:sz w:val="20"/>
      <w:szCs w:val="20"/>
      <w:lang w:eastAsia="en-US"/>
    </w:rPr>
  </w:style>
  <w:style w:type="character" w:customStyle="1" w:styleId="SUBARTICOLeuCaracter">
    <w:name w:val="SUBARTICOL eu Caracter"/>
    <w:link w:val="SUBARTICOLeu"/>
    <w:rsid w:val="005059B7"/>
    <w:rPr>
      <w:lang w:val="ro-RO" w:eastAsia="en-US" w:bidi="ar-SA"/>
    </w:rPr>
  </w:style>
  <w:style w:type="paragraph" w:styleId="BalloonText">
    <w:name w:val="Balloon Text"/>
    <w:basedOn w:val="Normal"/>
    <w:semiHidden/>
    <w:rsid w:val="0064399D"/>
    <w:rPr>
      <w:rFonts w:ascii="Tahoma" w:hAnsi="Tahoma" w:cs="Tahoma"/>
      <w:sz w:val="16"/>
      <w:szCs w:val="16"/>
    </w:rPr>
  </w:style>
  <w:style w:type="paragraph" w:styleId="Header">
    <w:name w:val="header"/>
    <w:basedOn w:val="Normal"/>
    <w:rsid w:val="0063571C"/>
    <w:pPr>
      <w:tabs>
        <w:tab w:val="center" w:pos="4536"/>
        <w:tab w:val="right" w:pos="9072"/>
      </w:tabs>
    </w:pPr>
  </w:style>
  <w:style w:type="character" w:customStyle="1" w:styleId="Heading1Char">
    <w:name w:val="Heading 1 Char"/>
    <w:link w:val="Heading1"/>
    <w:uiPriority w:val="9"/>
    <w:rsid w:val="004A13DB"/>
    <w:rPr>
      <w:rFonts w:ascii="Tahoma" w:eastAsia="Times New Roman" w:hAnsi="Tahoma"/>
      <w:b/>
      <w:color w:val="000000"/>
      <w:sz w:val="26"/>
      <w:szCs w:val="32"/>
      <w:u w:val="single"/>
      <w:lang w:eastAsia="en-US"/>
    </w:rPr>
  </w:style>
  <w:style w:type="paragraph" w:styleId="ListParagraph">
    <w:name w:val="List Paragraph"/>
    <w:basedOn w:val="Normal"/>
    <w:uiPriority w:val="34"/>
    <w:qFormat/>
    <w:rsid w:val="004A13DB"/>
    <w:pPr>
      <w:spacing w:line="288" w:lineRule="auto"/>
      <w:ind w:left="720"/>
      <w:contextualSpacing/>
    </w:pPr>
    <w:rPr>
      <w:rFonts w:ascii="Times New Roman" w:eastAsia="Times New Roman" w:hAnsi="Times New Roman"/>
      <w:sz w:val="28"/>
      <w:szCs w:val="22"/>
      <w:lang w:eastAsia="en-US"/>
    </w:rPr>
  </w:style>
  <w:style w:type="character" w:customStyle="1" w:styleId="FooterChar">
    <w:name w:val="Footer Char"/>
    <w:link w:val="Footer"/>
    <w:uiPriority w:val="99"/>
    <w:rsid w:val="009A2E80"/>
    <w:rPr>
      <w:rFonts w:ascii="Trebuchet MS" w:hAnsi="Trebuchet MS"/>
      <w:sz w:val="24"/>
      <w:szCs w:val="24"/>
      <w:lang w:eastAsia="zh-CN"/>
    </w:rPr>
  </w:style>
  <w:style w:type="character" w:customStyle="1" w:styleId="apple-converted-space">
    <w:name w:val="apple-converted-space"/>
    <w:uiPriority w:val="99"/>
    <w:rsid w:val="0075413D"/>
  </w:style>
  <w:style w:type="character" w:styleId="CommentReference">
    <w:name w:val="annotation reference"/>
    <w:uiPriority w:val="99"/>
    <w:rsid w:val="00957AAA"/>
    <w:rPr>
      <w:sz w:val="16"/>
      <w:szCs w:val="16"/>
    </w:rPr>
  </w:style>
  <w:style w:type="paragraph" w:styleId="CommentText">
    <w:name w:val="annotation text"/>
    <w:basedOn w:val="Normal"/>
    <w:link w:val="CommentTextChar"/>
    <w:rsid w:val="00957AAA"/>
    <w:rPr>
      <w:sz w:val="20"/>
      <w:szCs w:val="20"/>
    </w:rPr>
  </w:style>
  <w:style w:type="character" w:customStyle="1" w:styleId="CommentTextChar">
    <w:name w:val="Comment Text Char"/>
    <w:link w:val="CommentText"/>
    <w:rsid w:val="00957AAA"/>
    <w:rPr>
      <w:rFonts w:ascii="Trebuchet MS" w:hAnsi="Trebuchet MS"/>
      <w:lang w:eastAsia="zh-CN"/>
    </w:rPr>
  </w:style>
  <w:style w:type="paragraph" w:styleId="CommentSubject">
    <w:name w:val="annotation subject"/>
    <w:basedOn w:val="CommentText"/>
    <w:next w:val="CommentText"/>
    <w:link w:val="CommentSubjectChar"/>
    <w:rsid w:val="00957AAA"/>
    <w:rPr>
      <w:b/>
      <w:bCs/>
    </w:rPr>
  </w:style>
  <w:style w:type="character" w:customStyle="1" w:styleId="CommentSubjectChar">
    <w:name w:val="Comment Subject Char"/>
    <w:link w:val="CommentSubject"/>
    <w:rsid w:val="00957AAA"/>
    <w:rPr>
      <w:rFonts w:ascii="Trebuchet MS" w:hAnsi="Trebuchet MS"/>
      <w:b/>
      <w:bCs/>
      <w:lang w:eastAsia="zh-CN"/>
    </w:rPr>
  </w:style>
  <w:style w:type="paragraph" w:customStyle="1" w:styleId="Default">
    <w:name w:val="Default"/>
    <w:rsid w:val="00DD1ACE"/>
    <w:pPr>
      <w:autoSpaceDE w:val="0"/>
      <w:autoSpaceDN w:val="0"/>
      <w:adjustRightInd w:val="0"/>
    </w:pPr>
    <w:rPr>
      <w:rFonts w:eastAsia="Times New Roman"/>
      <w:color w:val="000000"/>
      <w:sz w:val="24"/>
      <w:szCs w:val="24"/>
    </w:rPr>
  </w:style>
  <w:style w:type="character" w:styleId="UnresolvedMention">
    <w:name w:val="Unresolved Mention"/>
    <w:basedOn w:val="DefaultParagraphFont"/>
    <w:uiPriority w:val="99"/>
    <w:semiHidden/>
    <w:unhideWhenUsed/>
    <w:rsid w:val="008A3E92"/>
    <w:rPr>
      <w:color w:val="605E5C"/>
      <w:shd w:val="clear" w:color="auto" w:fill="E1DFDD"/>
    </w:rPr>
  </w:style>
  <w:style w:type="paragraph" w:customStyle="1" w:styleId="Corp">
    <w:name w:val="Corp"/>
    <w:rsid w:val="001E559F"/>
    <w:rPr>
      <w:rFonts w:ascii="Trebuchet MS" w:eastAsia="Arial Unicode MS" w:hAnsi="Trebuchet MS" w:cs="Arial Unicode MS"/>
      <w:color w:val="000000"/>
      <w:sz w:val="24"/>
      <w:szCs w:val="24"/>
      <w:u w:color="000000"/>
      <w:lang w:val="ro-RO"/>
    </w:rPr>
  </w:style>
  <w:style w:type="character" w:styleId="Strong">
    <w:name w:val="Strong"/>
    <w:uiPriority w:val="22"/>
    <w:qFormat/>
    <w:rsid w:val="001E5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0874">
      <w:bodyDiv w:val="1"/>
      <w:marLeft w:val="0"/>
      <w:marRight w:val="0"/>
      <w:marTop w:val="0"/>
      <w:marBottom w:val="0"/>
      <w:divBdr>
        <w:top w:val="none" w:sz="0" w:space="0" w:color="auto"/>
        <w:left w:val="none" w:sz="0" w:space="0" w:color="auto"/>
        <w:bottom w:val="none" w:sz="0" w:space="0" w:color="auto"/>
        <w:right w:val="none" w:sz="0" w:space="0" w:color="auto"/>
      </w:divBdr>
    </w:div>
    <w:div w:id="267086409">
      <w:bodyDiv w:val="1"/>
      <w:marLeft w:val="0"/>
      <w:marRight w:val="0"/>
      <w:marTop w:val="0"/>
      <w:marBottom w:val="0"/>
      <w:divBdr>
        <w:top w:val="none" w:sz="0" w:space="0" w:color="auto"/>
        <w:left w:val="none" w:sz="0" w:space="0" w:color="auto"/>
        <w:bottom w:val="none" w:sz="0" w:space="0" w:color="auto"/>
        <w:right w:val="none" w:sz="0" w:space="0" w:color="auto"/>
      </w:divBdr>
    </w:div>
    <w:div w:id="389500670">
      <w:bodyDiv w:val="1"/>
      <w:marLeft w:val="0"/>
      <w:marRight w:val="0"/>
      <w:marTop w:val="0"/>
      <w:marBottom w:val="0"/>
      <w:divBdr>
        <w:top w:val="none" w:sz="0" w:space="0" w:color="auto"/>
        <w:left w:val="none" w:sz="0" w:space="0" w:color="auto"/>
        <w:bottom w:val="none" w:sz="0" w:space="0" w:color="auto"/>
        <w:right w:val="none" w:sz="0" w:space="0" w:color="auto"/>
      </w:divBdr>
    </w:div>
    <w:div w:id="589772774">
      <w:bodyDiv w:val="1"/>
      <w:marLeft w:val="0"/>
      <w:marRight w:val="0"/>
      <w:marTop w:val="0"/>
      <w:marBottom w:val="0"/>
      <w:divBdr>
        <w:top w:val="none" w:sz="0" w:space="0" w:color="auto"/>
        <w:left w:val="none" w:sz="0" w:space="0" w:color="auto"/>
        <w:bottom w:val="none" w:sz="0" w:space="0" w:color="auto"/>
        <w:right w:val="none" w:sz="0" w:space="0" w:color="auto"/>
      </w:divBdr>
    </w:div>
    <w:div w:id="795952586">
      <w:bodyDiv w:val="1"/>
      <w:marLeft w:val="0"/>
      <w:marRight w:val="0"/>
      <w:marTop w:val="0"/>
      <w:marBottom w:val="0"/>
      <w:divBdr>
        <w:top w:val="none" w:sz="0" w:space="0" w:color="auto"/>
        <w:left w:val="none" w:sz="0" w:space="0" w:color="auto"/>
        <w:bottom w:val="none" w:sz="0" w:space="0" w:color="auto"/>
        <w:right w:val="none" w:sz="0" w:space="0" w:color="auto"/>
      </w:divBdr>
    </w:div>
    <w:div w:id="970017392">
      <w:bodyDiv w:val="1"/>
      <w:marLeft w:val="0"/>
      <w:marRight w:val="0"/>
      <w:marTop w:val="0"/>
      <w:marBottom w:val="0"/>
      <w:divBdr>
        <w:top w:val="none" w:sz="0" w:space="0" w:color="auto"/>
        <w:left w:val="none" w:sz="0" w:space="0" w:color="auto"/>
        <w:bottom w:val="none" w:sz="0" w:space="0" w:color="auto"/>
        <w:right w:val="none" w:sz="0" w:space="0" w:color="auto"/>
      </w:divBdr>
    </w:div>
    <w:div w:id="1140998418">
      <w:bodyDiv w:val="1"/>
      <w:marLeft w:val="0"/>
      <w:marRight w:val="0"/>
      <w:marTop w:val="0"/>
      <w:marBottom w:val="0"/>
      <w:divBdr>
        <w:top w:val="none" w:sz="0" w:space="0" w:color="auto"/>
        <w:left w:val="none" w:sz="0" w:space="0" w:color="auto"/>
        <w:bottom w:val="none" w:sz="0" w:space="0" w:color="auto"/>
        <w:right w:val="none" w:sz="0" w:space="0" w:color="auto"/>
      </w:divBdr>
    </w:div>
    <w:div w:id="1143624334">
      <w:bodyDiv w:val="1"/>
      <w:marLeft w:val="0"/>
      <w:marRight w:val="0"/>
      <w:marTop w:val="0"/>
      <w:marBottom w:val="0"/>
      <w:divBdr>
        <w:top w:val="none" w:sz="0" w:space="0" w:color="auto"/>
        <w:left w:val="none" w:sz="0" w:space="0" w:color="auto"/>
        <w:bottom w:val="none" w:sz="0" w:space="0" w:color="auto"/>
        <w:right w:val="none" w:sz="0" w:space="0" w:color="auto"/>
      </w:divBdr>
    </w:div>
    <w:div w:id="1202478259">
      <w:bodyDiv w:val="1"/>
      <w:marLeft w:val="0"/>
      <w:marRight w:val="0"/>
      <w:marTop w:val="0"/>
      <w:marBottom w:val="0"/>
      <w:divBdr>
        <w:top w:val="none" w:sz="0" w:space="0" w:color="auto"/>
        <w:left w:val="none" w:sz="0" w:space="0" w:color="auto"/>
        <w:bottom w:val="none" w:sz="0" w:space="0" w:color="auto"/>
        <w:right w:val="none" w:sz="0" w:space="0" w:color="auto"/>
      </w:divBdr>
    </w:div>
    <w:div w:id="1355955527">
      <w:bodyDiv w:val="1"/>
      <w:marLeft w:val="0"/>
      <w:marRight w:val="0"/>
      <w:marTop w:val="0"/>
      <w:marBottom w:val="0"/>
      <w:divBdr>
        <w:top w:val="none" w:sz="0" w:space="0" w:color="auto"/>
        <w:left w:val="none" w:sz="0" w:space="0" w:color="auto"/>
        <w:bottom w:val="none" w:sz="0" w:space="0" w:color="auto"/>
        <w:right w:val="none" w:sz="0" w:space="0" w:color="auto"/>
      </w:divBdr>
    </w:div>
    <w:div w:id="1461801885">
      <w:bodyDiv w:val="1"/>
      <w:marLeft w:val="0"/>
      <w:marRight w:val="0"/>
      <w:marTop w:val="0"/>
      <w:marBottom w:val="0"/>
      <w:divBdr>
        <w:top w:val="none" w:sz="0" w:space="0" w:color="auto"/>
        <w:left w:val="none" w:sz="0" w:space="0" w:color="auto"/>
        <w:bottom w:val="none" w:sz="0" w:space="0" w:color="auto"/>
        <w:right w:val="none" w:sz="0" w:space="0" w:color="auto"/>
      </w:divBdr>
    </w:div>
    <w:div w:id="1627352008">
      <w:bodyDiv w:val="1"/>
      <w:marLeft w:val="0"/>
      <w:marRight w:val="0"/>
      <w:marTop w:val="0"/>
      <w:marBottom w:val="0"/>
      <w:divBdr>
        <w:top w:val="none" w:sz="0" w:space="0" w:color="auto"/>
        <w:left w:val="none" w:sz="0" w:space="0" w:color="auto"/>
        <w:bottom w:val="none" w:sz="0" w:space="0" w:color="auto"/>
        <w:right w:val="none" w:sz="0" w:space="0" w:color="auto"/>
      </w:divBdr>
    </w:div>
    <w:div w:id="1661929234">
      <w:bodyDiv w:val="1"/>
      <w:marLeft w:val="0"/>
      <w:marRight w:val="0"/>
      <w:marTop w:val="0"/>
      <w:marBottom w:val="0"/>
      <w:divBdr>
        <w:top w:val="none" w:sz="0" w:space="0" w:color="auto"/>
        <w:left w:val="none" w:sz="0" w:space="0" w:color="auto"/>
        <w:bottom w:val="none" w:sz="0" w:space="0" w:color="auto"/>
        <w:right w:val="none" w:sz="0" w:space="0" w:color="auto"/>
      </w:divBdr>
    </w:div>
    <w:div w:id="1707676125">
      <w:bodyDiv w:val="1"/>
      <w:marLeft w:val="0"/>
      <w:marRight w:val="0"/>
      <w:marTop w:val="0"/>
      <w:marBottom w:val="0"/>
      <w:divBdr>
        <w:top w:val="none" w:sz="0" w:space="0" w:color="auto"/>
        <w:left w:val="none" w:sz="0" w:space="0" w:color="auto"/>
        <w:bottom w:val="none" w:sz="0" w:space="0" w:color="auto"/>
        <w:right w:val="none" w:sz="0" w:space="0" w:color="auto"/>
      </w:divBdr>
    </w:div>
    <w:div w:id="1744713838">
      <w:bodyDiv w:val="1"/>
      <w:marLeft w:val="0"/>
      <w:marRight w:val="0"/>
      <w:marTop w:val="0"/>
      <w:marBottom w:val="0"/>
      <w:divBdr>
        <w:top w:val="none" w:sz="0" w:space="0" w:color="auto"/>
        <w:left w:val="none" w:sz="0" w:space="0" w:color="auto"/>
        <w:bottom w:val="none" w:sz="0" w:space="0" w:color="auto"/>
        <w:right w:val="none" w:sz="0" w:space="0" w:color="auto"/>
      </w:divBdr>
    </w:div>
    <w:div w:id="1822428681">
      <w:bodyDiv w:val="1"/>
      <w:marLeft w:val="0"/>
      <w:marRight w:val="0"/>
      <w:marTop w:val="0"/>
      <w:marBottom w:val="0"/>
      <w:divBdr>
        <w:top w:val="none" w:sz="0" w:space="0" w:color="auto"/>
        <w:left w:val="none" w:sz="0" w:space="0" w:color="auto"/>
        <w:bottom w:val="none" w:sz="0" w:space="0" w:color="auto"/>
        <w:right w:val="none" w:sz="0" w:space="0" w:color="auto"/>
      </w:divBdr>
    </w:div>
    <w:div w:id="1825392533">
      <w:bodyDiv w:val="1"/>
      <w:marLeft w:val="0"/>
      <w:marRight w:val="0"/>
      <w:marTop w:val="0"/>
      <w:marBottom w:val="0"/>
      <w:divBdr>
        <w:top w:val="none" w:sz="0" w:space="0" w:color="auto"/>
        <w:left w:val="none" w:sz="0" w:space="0" w:color="auto"/>
        <w:bottom w:val="none" w:sz="0" w:space="0" w:color="auto"/>
        <w:right w:val="none" w:sz="0" w:space="0" w:color="auto"/>
      </w:divBdr>
    </w:div>
    <w:div w:id="1835685884">
      <w:bodyDiv w:val="1"/>
      <w:marLeft w:val="0"/>
      <w:marRight w:val="0"/>
      <w:marTop w:val="0"/>
      <w:marBottom w:val="0"/>
      <w:divBdr>
        <w:top w:val="none" w:sz="0" w:space="0" w:color="auto"/>
        <w:left w:val="none" w:sz="0" w:space="0" w:color="auto"/>
        <w:bottom w:val="none" w:sz="0" w:space="0" w:color="auto"/>
        <w:right w:val="none" w:sz="0" w:space="0" w:color="auto"/>
      </w:divBdr>
    </w:div>
    <w:div w:id="1838614607">
      <w:bodyDiv w:val="1"/>
      <w:marLeft w:val="0"/>
      <w:marRight w:val="0"/>
      <w:marTop w:val="0"/>
      <w:marBottom w:val="0"/>
      <w:divBdr>
        <w:top w:val="none" w:sz="0" w:space="0" w:color="auto"/>
        <w:left w:val="none" w:sz="0" w:space="0" w:color="auto"/>
        <w:bottom w:val="none" w:sz="0" w:space="0" w:color="auto"/>
        <w:right w:val="none" w:sz="0" w:space="0" w:color="auto"/>
      </w:divBdr>
    </w:div>
    <w:div w:id="1861119680">
      <w:bodyDiv w:val="1"/>
      <w:marLeft w:val="0"/>
      <w:marRight w:val="0"/>
      <w:marTop w:val="0"/>
      <w:marBottom w:val="0"/>
      <w:divBdr>
        <w:top w:val="none" w:sz="0" w:space="0" w:color="auto"/>
        <w:left w:val="none" w:sz="0" w:space="0" w:color="auto"/>
        <w:bottom w:val="none" w:sz="0" w:space="0" w:color="auto"/>
        <w:right w:val="none" w:sz="0" w:space="0" w:color="auto"/>
      </w:divBdr>
    </w:div>
    <w:div w:id="1900751991">
      <w:bodyDiv w:val="1"/>
      <w:marLeft w:val="0"/>
      <w:marRight w:val="0"/>
      <w:marTop w:val="0"/>
      <w:marBottom w:val="0"/>
      <w:divBdr>
        <w:top w:val="none" w:sz="0" w:space="0" w:color="auto"/>
        <w:left w:val="none" w:sz="0" w:space="0" w:color="auto"/>
        <w:bottom w:val="none" w:sz="0" w:space="0" w:color="auto"/>
        <w:right w:val="none" w:sz="0" w:space="0" w:color="auto"/>
      </w:divBdr>
    </w:div>
    <w:div w:id="1909218992">
      <w:bodyDiv w:val="1"/>
      <w:marLeft w:val="0"/>
      <w:marRight w:val="0"/>
      <w:marTop w:val="0"/>
      <w:marBottom w:val="0"/>
      <w:divBdr>
        <w:top w:val="none" w:sz="0" w:space="0" w:color="auto"/>
        <w:left w:val="none" w:sz="0" w:space="0" w:color="auto"/>
        <w:bottom w:val="none" w:sz="0" w:space="0" w:color="auto"/>
        <w:right w:val="none" w:sz="0" w:space="0" w:color="auto"/>
      </w:divBdr>
    </w:div>
    <w:div w:id="1937785172">
      <w:bodyDiv w:val="1"/>
      <w:marLeft w:val="0"/>
      <w:marRight w:val="0"/>
      <w:marTop w:val="0"/>
      <w:marBottom w:val="0"/>
      <w:divBdr>
        <w:top w:val="none" w:sz="0" w:space="0" w:color="auto"/>
        <w:left w:val="none" w:sz="0" w:space="0" w:color="auto"/>
        <w:bottom w:val="none" w:sz="0" w:space="0" w:color="auto"/>
        <w:right w:val="none" w:sz="0" w:space="0" w:color="auto"/>
      </w:divBdr>
    </w:div>
    <w:div w:id="1939945240">
      <w:bodyDiv w:val="1"/>
      <w:marLeft w:val="0"/>
      <w:marRight w:val="0"/>
      <w:marTop w:val="0"/>
      <w:marBottom w:val="0"/>
      <w:divBdr>
        <w:top w:val="none" w:sz="0" w:space="0" w:color="auto"/>
        <w:left w:val="none" w:sz="0" w:space="0" w:color="auto"/>
        <w:bottom w:val="none" w:sz="0" w:space="0" w:color="auto"/>
        <w:right w:val="none" w:sz="0" w:space="0" w:color="auto"/>
      </w:divBdr>
    </w:div>
    <w:div w:id="1944728065">
      <w:bodyDiv w:val="1"/>
      <w:marLeft w:val="0"/>
      <w:marRight w:val="0"/>
      <w:marTop w:val="0"/>
      <w:marBottom w:val="0"/>
      <w:divBdr>
        <w:top w:val="none" w:sz="0" w:space="0" w:color="auto"/>
        <w:left w:val="none" w:sz="0" w:space="0" w:color="auto"/>
        <w:bottom w:val="none" w:sz="0" w:space="0" w:color="auto"/>
        <w:right w:val="none" w:sz="0" w:space="0" w:color="auto"/>
      </w:divBdr>
    </w:div>
    <w:div w:id="2048489042">
      <w:bodyDiv w:val="1"/>
      <w:marLeft w:val="0"/>
      <w:marRight w:val="0"/>
      <w:marTop w:val="0"/>
      <w:marBottom w:val="0"/>
      <w:divBdr>
        <w:top w:val="none" w:sz="0" w:space="0" w:color="auto"/>
        <w:left w:val="none" w:sz="0" w:space="0" w:color="auto"/>
        <w:bottom w:val="none" w:sz="0" w:space="0" w:color="auto"/>
        <w:right w:val="none" w:sz="0" w:space="0" w:color="auto"/>
      </w:divBdr>
    </w:div>
    <w:div w:id="20736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GL7-problematica-onpcsb@unbr.ro"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4022</Words>
  <Characters>22931</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Hewlett-Packard</Company>
  <LinksUpToDate>false</LinksUpToDate>
  <CharactersWithSpaces>26900</CharactersWithSpaces>
  <SharedDoc>false</SharedDoc>
  <HLinks>
    <vt:vector size="6" baseType="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Daniel Cismaru - Secretar general UNBR</dc:creator>
  <cp:keywords/>
  <cp:lastModifiedBy>Sandu Gherasim</cp:lastModifiedBy>
  <cp:revision>17</cp:revision>
  <cp:lastPrinted>2025-01-27T15:07:00Z</cp:lastPrinted>
  <dcterms:created xsi:type="dcterms:W3CDTF">2025-01-27T08:06:00Z</dcterms:created>
  <dcterms:modified xsi:type="dcterms:W3CDTF">2025-01-27T15:22:00Z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1AWYmHTK1LJUPSJQBvt_R5C8CKcPRhL0BXlmZhEStBD4</vt:lpwstr>
  </property>
  <property fmtid="{D5CDD505-2E9C-101B-9397-08002B2CF9AE}" pid="4" name="Google.Documents.RevisionId">
    <vt:lpwstr>10456792347953657670</vt:lpwstr>
  </property>
  <property fmtid="{D5CDD505-2E9C-101B-9397-08002B2CF9AE}" pid="5" name="Google.Documents.PreviousRevisionId">
    <vt:lpwstr>01655940397247806628</vt:lpwstr>
  </property>
  <property fmtid="{D5CDD505-2E9C-101B-9397-08002B2CF9AE}" pid="6" name="Google.Documents.PluginVersion">
    <vt:lpwstr>2.0.2662.553</vt:lpwstr>
  </property>
  <property fmtid="{D5CDD505-2E9C-101B-9397-08002B2CF9AE}" pid="7" name="Google.Documents.MergeIncapabilityFlags">
    <vt:i4>0</vt:i4>
  </property>
</Properties>
</file>